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4975F" w14:textId="77777777" w:rsidR="00942DAC" w:rsidRDefault="00942DAC" w:rsidP="00942DAC">
      <w:pPr>
        <w:pStyle w:val="Default"/>
      </w:pPr>
    </w:p>
    <w:tbl>
      <w:tblPr>
        <w:tblStyle w:val="TableGrid"/>
        <w:tblW w:w="0" w:type="auto"/>
        <w:tblLook w:val="04A0" w:firstRow="1" w:lastRow="0" w:firstColumn="1" w:lastColumn="0" w:noHBand="0" w:noVBand="1"/>
      </w:tblPr>
      <w:tblGrid>
        <w:gridCol w:w="2235"/>
        <w:gridCol w:w="7007"/>
      </w:tblGrid>
      <w:tr w:rsidR="00942DAC" w:rsidRPr="00740417" w14:paraId="6EB99DFC" w14:textId="77777777" w:rsidTr="009A4884">
        <w:trPr>
          <w:trHeight w:val="510"/>
        </w:trPr>
        <w:tc>
          <w:tcPr>
            <w:tcW w:w="2235" w:type="dxa"/>
          </w:tcPr>
          <w:p w14:paraId="67EFE822" w14:textId="77777777" w:rsidR="00942DAC" w:rsidRPr="00740417" w:rsidRDefault="00942DAC" w:rsidP="008E25F9">
            <w:pPr>
              <w:pStyle w:val="Default"/>
              <w:rPr>
                <w:rFonts w:asciiTheme="minorHAnsi" w:hAnsiTheme="minorHAnsi"/>
                <w:sz w:val="18"/>
                <w:szCs w:val="22"/>
              </w:rPr>
            </w:pPr>
            <w:r w:rsidRPr="00740417">
              <w:rPr>
                <w:rFonts w:asciiTheme="minorHAnsi" w:hAnsiTheme="minorHAnsi"/>
                <w:sz w:val="18"/>
                <w:szCs w:val="22"/>
              </w:rPr>
              <w:t>Policy Name</w:t>
            </w:r>
          </w:p>
        </w:tc>
        <w:tc>
          <w:tcPr>
            <w:tcW w:w="7007" w:type="dxa"/>
          </w:tcPr>
          <w:p w14:paraId="79A94B45" w14:textId="77777777" w:rsidR="00942DAC" w:rsidRPr="00740417" w:rsidRDefault="004D0980" w:rsidP="008E25F9">
            <w:pPr>
              <w:pStyle w:val="Default"/>
              <w:rPr>
                <w:rFonts w:asciiTheme="minorHAnsi" w:hAnsiTheme="minorHAnsi"/>
                <w:sz w:val="18"/>
                <w:szCs w:val="22"/>
              </w:rPr>
            </w:pPr>
            <w:r w:rsidRPr="00740417">
              <w:rPr>
                <w:rFonts w:asciiTheme="minorHAnsi" w:hAnsiTheme="minorHAnsi"/>
                <w:sz w:val="18"/>
                <w:szCs w:val="22"/>
              </w:rPr>
              <w:t>Social Responsibility in</w:t>
            </w:r>
            <w:r w:rsidR="00176CD6" w:rsidRPr="00740417">
              <w:rPr>
                <w:rFonts w:asciiTheme="minorHAnsi" w:hAnsiTheme="minorHAnsi"/>
                <w:sz w:val="18"/>
                <w:szCs w:val="22"/>
              </w:rPr>
              <w:t xml:space="preserve"> Gambling Policy</w:t>
            </w:r>
            <w:r w:rsidR="006C1ACA" w:rsidRPr="00740417">
              <w:rPr>
                <w:rFonts w:asciiTheme="minorHAnsi" w:hAnsiTheme="minorHAnsi"/>
                <w:sz w:val="18"/>
                <w:szCs w:val="22"/>
              </w:rPr>
              <w:t xml:space="preserve"> </w:t>
            </w:r>
          </w:p>
        </w:tc>
      </w:tr>
      <w:tr w:rsidR="00942DAC" w:rsidRPr="00740417" w14:paraId="44560B7C" w14:textId="77777777" w:rsidTr="00942DAC">
        <w:tc>
          <w:tcPr>
            <w:tcW w:w="2235" w:type="dxa"/>
          </w:tcPr>
          <w:p w14:paraId="61EEB991" w14:textId="77777777" w:rsidR="00942DAC" w:rsidRPr="00740417" w:rsidRDefault="00942DAC" w:rsidP="008E25F9">
            <w:pPr>
              <w:pStyle w:val="Default"/>
              <w:rPr>
                <w:rFonts w:asciiTheme="minorHAnsi" w:hAnsiTheme="minorHAnsi"/>
                <w:sz w:val="18"/>
                <w:szCs w:val="22"/>
              </w:rPr>
            </w:pPr>
            <w:r w:rsidRPr="00740417">
              <w:rPr>
                <w:rFonts w:asciiTheme="minorHAnsi" w:hAnsiTheme="minorHAnsi"/>
                <w:sz w:val="18"/>
                <w:szCs w:val="22"/>
              </w:rPr>
              <w:t>Policy Purpose</w:t>
            </w:r>
          </w:p>
        </w:tc>
        <w:tc>
          <w:tcPr>
            <w:tcW w:w="7007" w:type="dxa"/>
          </w:tcPr>
          <w:p w14:paraId="1E51D49B" w14:textId="77777777" w:rsidR="00942DAC" w:rsidRPr="00740417" w:rsidRDefault="00C53D7E" w:rsidP="008E25F9">
            <w:pPr>
              <w:pStyle w:val="Default"/>
              <w:rPr>
                <w:rFonts w:asciiTheme="minorHAnsi" w:hAnsiTheme="minorHAnsi"/>
                <w:sz w:val="18"/>
                <w:szCs w:val="22"/>
              </w:rPr>
            </w:pPr>
            <w:r w:rsidRPr="00740417">
              <w:rPr>
                <w:rFonts w:asciiTheme="minorHAnsi" w:hAnsiTheme="minorHAnsi"/>
                <w:bCs/>
                <w:sz w:val="18"/>
                <w:szCs w:val="22"/>
              </w:rPr>
              <w:t>Ensuring the promotion of social responsibility in gambling.</w:t>
            </w:r>
          </w:p>
        </w:tc>
      </w:tr>
      <w:tr w:rsidR="00942DAC" w:rsidRPr="00740417" w14:paraId="70AA7212" w14:textId="77777777" w:rsidTr="00942DAC">
        <w:tc>
          <w:tcPr>
            <w:tcW w:w="2235" w:type="dxa"/>
          </w:tcPr>
          <w:p w14:paraId="34037155" w14:textId="77777777" w:rsidR="00942DAC" w:rsidRPr="00740417" w:rsidRDefault="00942DAC" w:rsidP="008E25F9">
            <w:pPr>
              <w:pStyle w:val="Default"/>
              <w:rPr>
                <w:rFonts w:asciiTheme="minorHAnsi" w:hAnsiTheme="minorHAnsi"/>
                <w:sz w:val="18"/>
                <w:szCs w:val="22"/>
              </w:rPr>
            </w:pPr>
            <w:r w:rsidRPr="00740417">
              <w:rPr>
                <w:rFonts w:asciiTheme="minorHAnsi" w:hAnsiTheme="minorHAnsi"/>
                <w:sz w:val="18"/>
                <w:szCs w:val="22"/>
              </w:rPr>
              <w:t>Policy Created By</w:t>
            </w:r>
          </w:p>
        </w:tc>
        <w:tc>
          <w:tcPr>
            <w:tcW w:w="7007" w:type="dxa"/>
          </w:tcPr>
          <w:p w14:paraId="031FA931" w14:textId="5C9AA517" w:rsidR="00942DAC" w:rsidRPr="00924579" w:rsidRDefault="00924579" w:rsidP="00D64FD0">
            <w:pPr>
              <w:pStyle w:val="Default"/>
              <w:rPr>
                <w:rFonts w:asciiTheme="minorHAnsi" w:hAnsiTheme="minorHAnsi"/>
                <w:color w:val="auto"/>
                <w:sz w:val="18"/>
                <w:szCs w:val="22"/>
              </w:rPr>
            </w:pPr>
            <w:r w:rsidRPr="00924579">
              <w:rPr>
                <w:rFonts w:asciiTheme="minorHAnsi" w:hAnsiTheme="minorHAnsi"/>
                <w:color w:val="auto"/>
                <w:sz w:val="18"/>
                <w:szCs w:val="22"/>
              </w:rPr>
              <w:t>Hannah Baynham</w:t>
            </w:r>
          </w:p>
        </w:tc>
      </w:tr>
      <w:tr w:rsidR="00942DAC" w:rsidRPr="00740417" w14:paraId="625AC205" w14:textId="77777777" w:rsidTr="00942DAC">
        <w:tc>
          <w:tcPr>
            <w:tcW w:w="2235" w:type="dxa"/>
          </w:tcPr>
          <w:p w14:paraId="55E7225D" w14:textId="77777777" w:rsidR="00942DAC" w:rsidRPr="00740417" w:rsidRDefault="00942DAC" w:rsidP="008E25F9">
            <w:pPr>
              <w:pStyle w:val="Default"/>
              <w:rPr>
                <w:rFonts w:asciiTheme="minorHAnsi" w:hAnsiTheme="minorHAnsi"/>
                <w:sz w:val="18"/>
                <w:szCs w:val="22"/>
              </w:rPr>
            </w:pPr>
            <w:r w:rsidRPr="00740417">
              <w:rPr>
                <w:rFonts w:asciiTheme="minorHAnsi" w:hAnsiTheme="minorHAnsi"/>
                <w:sz w:val="18"/>
                <w:szCs w:val="22"/>
              </w:rPr>
              <w:t>Policy Created date</w:t>
            </w:r>
          </w:p>
        </w:tc>
        <w:tc>
          <w:tcPr>
            <w:tcW w:w="7007" w:type="dxa"/>
          </w:tcPr>
          <w:p w14:paraId="1F1E2413" w14:textId="70EE4981" w:rsidR="00942DAC" w:rsidRPr="00DF1D34" w:rsidRDefault="00DF1D34" w:rsidP="008E25F9">
            <w:pPr>
              <w:pStyle w:val="Default"/>
              <w:rPr>
                <w:rFonts w:asciiTheme="minorHAnsi" w:hAnsiTheme="minorHAnsi" w:cstheme="minorHAnsi"/>
                <w:color w:val="FF0000"/>
                <w:sz w:val="18"/>
                <w:szCs w:val="22"/>
              </w:rPr>
            </w:pPr>
            <w:r w:rsidRPr="00DF1D34">
              <w:rPr>
                <w:rFonts w:asciiTheme="minorHAnsi" w:hAnsiTheme="minorHAnsi" w:cstheme="minorHAnsi"/>
                <w:sz w:val="18"/>
                <w:szCs w:val="18"/>
              </w:rPr>
              <w:t>April 2020</w:t>
            </w:r>
          </w:p>
        </w:tc>
      </w:tr>
      <w:tr w:rsidR="00740417" w:rsidRPr="00740417" w14:paraId="1409D08A" w14:textId="77777777" w:rsidTr="00942DAC">
        <w:tc>
          <w:tcPr>
            <w:tcW w:w="2235" w:type="dxa"/>
          </w:tcPr>
          <w:p w14:paraId="4ED220D8" w14:textId="77777777" w:rsidR="00740417" w:rsidRPr="00740417" w:rsidRDefault="00740417" w:rsidP="00740417">
            <w:pPr>
              <w:rPr>
                <w:sz w:val="18"/>
              </w:rPr>
            </w:pPr>
            <w:r w:rsidRPr="00740417">
              <w:rPr>
                <w:sz w:val="18"/>
              </w:rPr>
              <w:t>Policy Validated and Checked By</w:t>
            </w:r>
          </w:p>
        </w:tc>
        <w:tc>
          <w:tcPr>
            <w:tcW w:w="7007" w:type="dxa"/>
          </w:tcPr>
          <w:p w14:paraId="6E42CEF0" w14:textId="46A1FAD2" w:rsidR="00740417" w:rsidRPr="00740417" w:rsidRDefault="00D70348" w:rsidP="00740417">
            <w:pPr>
              <w:rPr>
                <w:sz w:val="18"/>
              </w:rPr>
            </w:pPr>
            <w:r>
              <w:rPr>
                <w:sz w:val="18"/>
              </w:rPr>
              <w:t>Tracey Wood</w:t>
            </w:r>
          </w:p>
        </w:tc>
      </w:tr>
      <w:tr w:rsidR="00740417" w:rsidRPr="00740417" w14:paraId="550BF0F6" w14:textId="77777777" w:rsidTr="00942DAC">
        <w:tc>
          <w:tcPr>
            <w:tcW w:w="2235" w:type="dxa"/>
          </w:tcPr>
          <w:p w14:paraId="579201A4" w14:textId="77777777" w:rsidR="00740417" w:rsidRPr="00740417" w:rsidRDefault="00740417" w:rsidP="00740417">
            <w:pPr>
              <w:rPr>
                <w:sz w:val="18"/>
              </w:rPr>
            </w:pPr>
            <w:r w:rsidRPr="00740417">
              <w:rPr>
                <w:sz w:val="18"/>
              </w:rPr>
              <w:t>Policy Validated and Checked Date</w:t>
            </w:r>
          </w:p>
        </w:tc>
        <w:tc>
          <w:tcPr>
            <w:tcW w:w="7007" w:type="dxa"/>
          </w:tcPr>
          <w:p w14:paraId="1755E3AC" w14:textId="58839CF1" w:rsidR="00740417" w:rsidRPr="00740417" w:rsidRDefault="00924579" w:rsidP="001944C0">
            <w:pPr>
              <w:rPr>
                <w:sz w:val="18"/>
              </w:rPr>
            </w:pPr>
            <w:r>
              <w:rPr>
                <w:sz w:val="18"/>
              </w:rPr>
              <w:t>May 2022</w:t>
            </w:r>
          </w:p>
        </w:tc>
      </w:tr>
      <w:tr w:rsidR="00740417" w:rsidRPr="00740417" w14:paraId="766B2067" w14:textId="77777777" w:rsidTr="00942DAC">
        <w:tc>
          <w:tcPr>
            <w:tcW w:w="2235" w:type="dxa"/>
          </w:tcPr>
          <w:p w14:paraId="4627DF0A" w14:textId="77777777" w:rsidR="00740417" w:rsidRPr="00740417" w:rsidRDefault="00740417" w:rsidP="00740417">
            <w:pPr>
              <w:rPr>
                <w:sz w:val="18"/>
              </w:rPr>
            </w:pPr>
            <w:r w:rsidRPr="00740417">
              <w:rPr>
                <w:sz w:val="18"/>
              </w:rPr>
              <w:t>Policy Renewal Date</w:t>
            </w:r>
          </w:p>
        </w:tc>
        <w:tc>
          <w:tcPr>
            <w:tcW w:w="7007" w:type="dxa"/>
          </w:tcPr>
          <w:p w14:paraId="02A45C07" w14:textId="4F0DF99E" w:rsidR="00740417" w:rsidRPr="00740417" w:rsidRDefault="001944C0" w:rsidP="00740417">
            <w:pPr>
              <w:rPr>
                <w:sz w:val="18"/>
              </w:rPr>
            </w:pPr>
            <w:r>
              <w:rPr>
                <w:sz w:val="18"/>
              </w:rPr>
              <w:t>April 202</w:t>
            </w:r>
            <w:r w:rsidR="00924579">
              <w:rPr>
                <w:sz w:val="18"/>
              </w:rPr>
              <w:t>3</w:t>
            </w:r>
          </w:p>
        </w:tc>
      </w:tr>
    </w:tbl>
    <w:p w14:paraId="06C7018A" w14:textId="77777777" w:rsidR="00942DAC" w:rsidRDefault="00942DAC" w:rsidP="00942DAC">
      <w:pPr>
        <w:pStyle w:val="Default"/>
        <w:rPr>
          <w:sz w:val="18"/>
          <w:szCs w:val="18"/>
        </w:rPr>
      </w:pPr>
    </w:p>
    <w:p w14:paraId="1B92C7C1" w14:textId="77777777" w:rsidR="00942DAC" w:rsidRDefault="00942DAC" w:rsidP="00942DAC">
      <w:pPr>
        <w:pStyle w:val="Default"/>
        <w:rPr>
          <w:sz w:val="18"/>
          <w:szCs w:val="18"/>
        </w:rPr>
      </w:pPr>
    </w:p>
    <w:p w14:paraId="6905E890" w14:textId="77777777" w:rsidR="00942DAC" w:rsidRDefault="00942DAC" w:rsidP="005B15AE">
      <w:pPr>
        <w:pStyle w:val="Heading2"/>
      </w:pPr>
      <w:r>
        <w:t xml:space="preserve">Policy Detail </w:t>
      </w:r>
    </w:p>
    <w:p w14:paraId="22B7D805" w14:textId="3620FA6E" w:rsidR="00C6573D" w:rsidRPr="009D533E" w:rsidRDefault="00924579" w:rsidP="00C6573D">
      <w:pPr>
        <w:pStyle w:val="NormalWeb"/>
        <w:numPr>
          <w:ilvl w:val="0"/>
          <w:numId w:val="2"/>
        </w:numPr>
        <w:shd w:val="clear" w:color="auto" w:fill="FFFFFF"/>
        <w:spacing w:before="0" w:beforeAutospacing="0" w:after="0" w:afterAutospacing="0"/>
        <w:rPr>
          <w:rFonts w:asciiTheme="minorHAnsi" w:hAnsiTheme="minorHAnsi" w:cs="Arial"/>
          <w:color w:val="000000"/>
          <w:sz w:val="18"/>
          <w:szCs w:val="18"/>
        </w:rPr>
      </w:pPr>
      <w:r w:rsidRPr="00924579">
        <w:rPr>
          <w:rFonts w:asciiTheme="minorHAnsi" w:hAnsiTheme="minorHAnsi" w:cstheme="minorHAnsi"/>
          <w:bCs/>
          <w:sz w:val="18"/>
          <w:szCs w:val="18"/>
        </w:rPr>
        <w:t xml:space="preserve">East </w:t>
      </w:r>
      <w:r w:rsidRPr="00924579">
        <w:rPr>
          <w:rFonts w:asciiTheme="minorHAnsi" w:hAnsiTheme="minorHAnsi" w:cstheme="minorHAnsi"/>
          <w:bCs/>
          <w:color w:val="000000" w:themeColor="text1"/>
          <w:sz w:val="18"/>
          <w:szCs w:val="18"/>
        </w:rPr>
        <w:t>Hampshire Di</w:t>
      </w:r>
      <w:r w:rsidRPr="00924579">
        <w:rPr>
          <w:rFonts w:asciiTheme="minorHAnsi" w:hAnsiTheme="minorHAnsi" w:cstheme="minorHAnsi"/>
          <w:bCs/>
          <w:sz w:val="18"/>
          <w:szCs w:val="18"/>
        </w:rPr>
        <w:t>strict</w:t>
      </w:r>
      <w:r w:rsidRPr="00924579">
        <w:rPr>
          <w:bCs/>
          <w:sz w:val="18"/>
          <w:szCs w:val="18"/>
        </w:rPr>
        <w:t xml:space="preserve"> </w:t>
      </w:r>
      <w:r w:rsidR="004A33FF" w:rsidRPr="00924579">
        <w:rPr>
          <w:rFonts w:asciiTheme="minorHAnsi" w:hAnsiTheme="minorHAnsi" w:cs="Arial"/>
          <w:sz w:val="18"/>
          <w:szCs w:val="18"/>
        </w:rPr>
        <w:t>Council</w:t>
      </w:r>
      <w:r w:rsidR="00C6573D" w:rsidRPr="00924579">
        <w:rPr>
          <w:rFonts w:asciiTheme="minorHAnsi" w:hAnsiTheme="minorHAnsi" w:cs="Arial"/>
          <w:sz w:val="18"/>
          <w:szCs w:val="18"/>
        </w:rPr>
        <w:t> is aware</w:t>
      </w:r>
      <w:r w:rsidR="00C6573D" w:rsidRPr="009D533E">
        <w:rPr>
          <w:rFonts w:asciiTheme="minorHAnsi" w:hAnsiTheme="minorHAnsi" w:cs="Arial"/>
          <w:color w:val="000000"/>
          <w:sz w:val="18"/>
          <w:szCs w:val="18"/>
        </w:rPr>
        <w:t xml:space="preserve"> of its social responsibility to protect individuals from excessive and addictive gambling.  </w:t>
      </w:r>
    </w:p>
    <w:p w14:paraId="01E70D63" w14:textId="77777777" w:rsidR="00C6573D" w:rsidRPr="009D533E" w:rsidRDefault="00C6573D" w:rsidP="00C6573D">
      <w:pPr>
        <w:pStyle w:val="NormalWeb"/>
        <w:shd w:val="clear" w:color="auto" w:fill="FFFFFF"/>
        <w:spacing w:before="0" w:beforeAutospacing="0" w:after="0" w:afterAutospacing="0"/>
        <w:ind w:firstLine="30"/>
        <w:rPr>
          <w:rFonts w:asciiTheme="minorHAnsi" w:hAnsiTheme="minorHAnsi" w:cs="Arial"/>
          <w:color w:val="000000"/>
          <w:sz w:val="18"/>
          <w:szCs w:val="18"/>
        </w:rPr>
      </w:pPr>
    </w:p>
    <w:p w14:paraId="17F95314" w14:textId="77777777" w:rsidR="00C6573D" w:rsidRPr="009D533E" w:rsidRDefault="00C6573D" w:rsidP="00C6573D">
      <w:pPr>
        <w:pStyle w:val="NormalWeb"/>
        <w:numPr>
          <w:ilvl w:val="0"/>
          <w:numId w:val="2"/>
        </w:numPr>
        <w:shd w:val="clear" w:color="auto" w:fill="FFFFFF"/>
        <w:spacing w:before="0" w:beforeAutospacing="0" w:after="0" w:afterAutospacing="0"/>
        <w:rPr>
          <w:rFonts w:asciiTheme="minorHAnsi" w:hAnsiTheme="minorHAnsi" w:cs="Arial"/>
          <w:color w:val="000000"/>
          <w:sz w:val="18"/>
          <w:szCs w:val="18"/>
        </w:rPr>
      </w:pPr>
      <w:r w:rsidRPr="009D533E">
        <w:rPr>
          <w:rFonts w:asciiTheme="minorHAnsi" w:hAnsiTheme="minorHAnsi" w:cs="Arial"/>
          <w:color w:val="000000"/>
          <w:sz w:val="18"/>
          <w:szCs w:val="18"/>
        </w:rPr>
        <w:t>Limits are in place to ensure individuals cannot buy excessive numbers of tickets, </w:t>
      </w:r>
    </w:p>
    <w:p w14:paraId="52F4DE04" w14:textId="77777777" w:rsidR="00C6573D" w:rsidRPr="009D533E" w:rsidRDefault="00C22F61" w:rsidP="00C6573D">
      <w:pPr>
        <w:pStyle w:val="NormalWeb"/>
        <w:numPr>
          <w:ilvl w:val="1"/>
          <w:numId w:val="2"/>
        </w:numPr>
        <w:shd w:val="clear" w:color="auto" w:fill="FFFFFF"/>
        <w:spacing w:before="0" w:beforeAutospacing="0" w:after="0" w:afterAutospacing="0"/>
        <w:rPr>
          <w:rFonts w:asciiTheme="minorHAnsi" w:hAnsiTheme="minorHAnsi" w:cs="Arial"/>
          <w:color w:val="000000"/>
          <w:sz w:val="18"/>
          <w:szCs w:val="18"/>
        </w:rPr>
      </w:pPr>
      <w:r>
        <w:rPr>
          <w:rFonts w:asciiTheme="minorHAnsi" w:hAnsiTheme="minorHAnsi" w:cs="Arial"/>
          <w:color w:val="000000"/>
          <w:sz w:val="18"/>
          <w:szCs w:val="18"/>
        </w:rPr>
        <w:t>T</w:t>
      </w:r>
      <w:r w:rsidR="00C6573D" w:rsidRPr="009D533E">
        <w:rPr>
          <w:rFonts w:asciiTheme="minorHAnsi" w:hAnsiTheme="minorHAnsi" w:cs="Arial"/>
          <w:color w:val="000000"/>
          <w:sz w:val="18"/>
          <w:szCs w:val="18"/>
        </w:rPr>
        <w:t>his therefore restricts the capability for individuals to gamble beyond their means or gamble what they cannot afford.  </w:t>
      </w:r>
    </w:p>
    <w:p w14:paraId="16F60F54" w14:textId="77777777" w:rsidR="00C6573D" w:rsidRPr="009D533E" w:rsidRDefault="00C6573D" w:rsidP="00C6573D">
      <w:pPr>
        <w:pStyle w:val="NormalWeb"/>
        <w:numPr>
          <w:ilvl w:val="1"/>
          <w:numId w:val="2"/>
        </w:numPr>
        <w:shd w:val="clear" w:color="auto" w:fill="FFFFFF"/>
        <w:spacing w:before="0" w:beforeAutospacing="0" w:after="0" w:afterAutospacing="0"/>
        <w:rPr>
          <w:rFonts w:asciiTheme="minorHAnsi" w:hAnsiTheme="minorHAnsi" w:cs="Arial"/>
          <w:color w:val="000000"/>
          <w:sz w:val="18"/>
          <w:szCs w:val="18"/>
        </w:rPr>
      </w:pPr>
      <w:r w:rsidRPr="009D533E">
        <w:rPr>
          <w:rFonts w:asciiTheme="minorHAnsi" w:hAnsiTheme="minorHAnsi" w:cs="Arial"/>
          <w:color w:val="000000"/>
          <w:sz w:val="18"/>
          <w:szCs w:val="18"/>
        </w:rPr>
        <w:t>These limits will be monitored to see how many players reach them and may be reduced correspondingly if required.</w:t>
      </w:r>
    </w:p>
    <w:p w14:paraId="78B6D51D" w14:textId="77777777" w:rsidR="00C6573D" w:rsidRPr="009D533E" w:rsidRDefault="00C6573D" w:rsidP="00C6573D">
      <w:pPr>
        <w:pStyle w:val="NormalWeb"/>
        <w:numPr>
          <w:ilvl w:val="1"/>
          <w:numId w:val="2"/>
        </w:numPr>
        <w:shd w:val="clear" w:color="auto" w:fill="FFFFFF"/>
        <w:spacing w:before="0" w:beforeAutospacing="0" w:after="0" w:afterAutospacing="0"/>
        <w:rPr>
          <w:rFonts w:asciiTheme="minorHAnsi" w:hAnsiTheme="minorHAnsi" w:cs="Arial"/>
          <w:color w:val="000000"/>
          <w:sz w:val="18"/>
          <w:szCs w:val="18"/>
        </w:rPr>
      </w:pPr>
      <w:r w:rsidRPr="009D533E">
        <w:rPr>
          <w:rFonts w:asciiTheme="minorHAnsi" w:hAnsiTheme="minorHAnsi" w:cs="Arial"/>
          <w:color w:val="000000"/>
          <w:sz w:val="18"/>
          <w:szCs w:val="18"/>
        </w:rPr>
        <w:t>These limits are clearly highlighted at the point of purchase online. </w:t>
      </w:r>
    </w:p>
    <w:p w14:paraId="191AC44E" w14:textId="77777777" w:rsidR="00C6573D" w:rsidRPr="009D533E" w:rsidRDefault="00C6573D" w:rsidP="00C6573D">
      <w:pPr>
        <w:pStyle w:val="NormalWeb"/>
        <w:shd w:val="clear" w:color="auto" w:fill="FFFFFF"/>
        <w:spacing w:before="0" w:beforeAutospacing="0" w:after="0" w:afterAutospacing="0"/>
        <w:ind w:firstLine="30"/>
        <w:rPr>
          <w:rFonts w:asciiTheme="minorHAnsi" w:hAnsiTheme="minorHAnsi" w:cs="Arial"/>
          <w:color w:val="000000"/>
          <w:sz w:val="18"/>
          <w:szCs w:val="18"/>
        </w:rPr>
      </w:pPr>
    </w:p>
    <w:p w14:paraId="32E9A719" w14:textId="77777777" w:rsidR="00C6573D" w:rsidRPr="009D533E" w:rsidRDefault="00B81F56" w:rsidP="00C6573D">
      <w:pPr>
        <w:pStyle w:val="NormalWeb"/>
        <w:numPr>
          <w:ilvl w:val="0"/>
          <w:numId w:val="2"/>
        </w:numPr>
        <w:shd w:val="clear" w:color="auto" w:fill="FFFFFF"/>
        <w:spacing w:before="0" w:beforeAutospacing="0" w:after="0" w:afterAutospacing="0"/>
        <w:rPr>
          <w:rFonts w:asciiTheme="minorHAnsi" w:hAnsiTheme="minorHAnsi" w:cs="Arial"/>
          <w:color w:val="000000"/>
          <w:sz w:val="18"/>
          <w:szCs w:val="18"/>
        </w:rPr>
      </w:pPr>
      <w:r>
        <w:rPr>
          <w:rFonts w:asciiTheme="minorHAnsi" w:hAnsiTheme="minorHAnsi" w:cs="Arial"/>
          <w:color w:val="000000"/>
          <w:sz w:val="18"/>
          <w:szCs w:val="18"/>
        </w:rPr>
        <w:t xml:space="preserve">Accounts require validation </w:t>
      </w:r>
      <w:r w:rsidR="00C6573D" w:rsidRPr="009D533E">
        <w:rPr>
          <w:rFonts w:asciiTheme="minorHAnsi" w:hAnsiTheme="minorHAnsi" w:cs="Arial"/>
          <w:color w:val="000000"/>
          <w:sz w:val="18"/>
          <w:szCs w:val="18"/>
        </w:rPr>
        <w:t xml:space="preserve">and set up. </w:t>
      </w:r>
    </w:p>
    <w:p w14:paraId="48BC3DDA" w14:textId="77777777" w:rsidR="00C6573D" w:rsidRPr="009D533E" w:rsidRDefault="00C6573D" w:rsidP="00C6573D">
      <w:pPr>
        <w:pStyle w:val="NormalWeb"/>
        <w:numPr>
          <w:ilvl w:val="1"/>
          <w:numId w:val="2"/>
        </w:numPr>
        <w:shd w:val="clear" w:color="auto" w:fill="FFFFFF"/>
        <w:spacing w:before="0" w:beforeAutospacing="0" w:after="0" w:afterAutospacing="0"/>
        <w:rPr>
          <w:rFonts w:asciiTheme="minorHAnsi" w:hAnsiTheme="minorHAnsi" w:cs="Arial"/>
          <w:color w:val="000000"/>
          <w:sz w:val="18"/>
          <w:szCs w:val="18"/>
        </w:rPr>
      </w:pPr>
      <w:r w:rsidRPr="009D533E">
        <w:rPr>
          <w:rFonts w:asciiTheme="minorHAnsi" w:hAnsiTheme="minorHAnsi" w:cs="Arial"/>
          <w:color w:val="000000"/>
          <w:sz w:val="18"/>
          <w:szCs w:val="18"/>
        </w:rPr>
        <w:t>In the instances of direct debit</w:t>
      </w:r>
      <w:r w:rsidR="00B81F56">
        <w:rPr>
          <w:rFonts w:asciiTheme="minorHAnsi" w:hAnsiTheme="minorHAnsi" w:cs="Arial"/>
          <w:color w:val="000000"/>
          <w:sz w:val="18"/>
          <w:szCs w:val="18"/>
        </w:rPr>
        <w:t xml:space="preserve"> the Direct Debit Guarantee ensures a</w:t>
      </w:r>
      <w:r w:rsidRPr="009D533E">
        <w:rPr>
          <w:rFonts w:asciiTheme="minorHAnsi" w:hAnsiTheme="minorHAnsi" w:cs="Arial"/>
          <w:color w:val="000000"/>
          <w:sz w:val="18"/>
          <w:szCs w:val="18"/>
        </w:rPr>
        <w:t xml:space="preserve"> time lag between ticket purchase and the first draw. </w:t>
      </w:r>
    </w:p>
    <w:p w14:paraId="789DB0E1" w14:textId="77777777" w:rsidR="00C6573D" w:rsidRPr="009D533E" w:rsidRDefault="00C6573D" w:rsidP="00C6573D">
      <w:pPr>
        <w:pStyle w:val="NormalWeb"/>
        <w:numPr>
          <w:ilvl w:val="1"/>
          <w:numId w:val="2"/>
        </w:numPr>
        <w:shd w:val="clear" w:color="auto" w:fill="FFFFFF"/>
        <w:spacing w:before="0" w:beforeAutospacing="0" w:after="0" w:afterAutospacing="0"/>
        <w:rPr>
          <w:rFonts w:asciiTheme="minorHAnsi" w:hAnsiTheme="minorHAnsi" w:cs="Arial"/>
          <w:color w:val="000000"/>
          <w:sz w:val="18"/>
          <w:szCs w:val="18"/>
        </w:rPr>
      </w:pPr>
      <w:r w:rsidRPr="009D533E">
        <w:rPr>
          <w:rFonts w:asciiTheme="minorHAnsi" w:hAnsiTheme="minorHAnsi" w:cs="Arial"/>
          <w:color w:val="000000"/>
          <w:sz w:val="18"/>
          <w:szCs w:val="18"/>
        </w:rPr>
        <w:t xml:space="preserve">As draws take place once per week, Ticket purchases are therefore not capable of being purchased for immediate play and </w:t>
      </w:r>
    </w:p>
    <w:p w14:paraId="54979C07" w14:textId="77777777" w:rsidR="00C6573D" w:rsidRPr="009D533E" w:rsidRDefault="007B6E67" w:rsidP="00C6573D">
      <w:pPr>
        <w:pStyle w:val="NormalWeb"/>
        <w:numPr>
          <w:ilvl w:val="1"/>
          <w:numId w:val="2"/>
        </w:numPr>
        <w:shd w:val="clear" w:color="auto" w:fill="FFFFFF"/>
        <w:spacing w:before="0" w:beforeAutospacing="0" w:after="0" w:afterAutospacing="0"/>
        <w:rPr>
          <w:rFonts w:asciiTheme="minorHAnsi" w:hAnsiTheme="minorHAnsi" w:cs="Arial"/>
          <w:color w:val="000000"/>
          <w:sz w:val="18"/>
          <w:szCs w:val="18"/>
        </w:rPr>
      </w:pPr>
      <w:r>
        <w:rPr>
          <w:rFonts w:asciiTheme="minorHAnsi" w:hAnsiTheme="minorHAnsi" w:cs="Arial"/>
          <w:color w:val="000000"/>
          <w:sz w:val="18"/>
          <w:szCs w:val="18"/>
        </w:rPr>
        <w:t>F</w:t>
      </w:r>
      <w:r w:rsidR="00C6573D" w:rsidRPr="009D533E">
        <w:rPr>
          <w:rFonts w:asciiTheme="minorHAnsi" w:hAnsiTheme="minorHAnsi" w:cs="Arial"/>
          <w:color w:val="000000"/>
          <w:sz w:val="18"/>
          <w:szCs w:val="18"/>
        </w:rPr>
        <w:t>or inte</w:t>
      </w:r>
      <w:r w:rsidR="00647D78">
        <w:rPr>
          <w:rFonts w:asciiTheme="minorHAnsi" w:hAnsiTheme="minorHAnsi" w:cs="Arial"/>
          <w:color w:val="000000"/>
          <w:sz w:val="18"/>
          <w:szCs w:val="18"/>
        </w:rPr>
        <w:t>rnal process reasons even</w:t>
      </w:r>
      <w:r w:rsidR="00B81F56">
        <w:rPr>
          <w:rFonts w:asciiTheme="minorHAnsi" w:hAnsiTheme="minorHAnsi" w:cs="Arial"/>
          <w:color w:val="000000"/>
          <w:sz w:val="18"/>
          <w:szCs w:val="18"/>
        </w:rPr>
        <w:t xml:space="preserve"> debit</w:t>
      </w:r>
      <w:r w:rsidR="00C6573D" w:rsidRPr="009D533E">
        <w:rPr>
          <w:rFonts w:asciiTheme="minorHAnsi" w:hAnsiTheme="minorHAnsi" w:cs="Arial"/>
          <w:color w:val="000000"/>
          <w:sz w:val="18"/>
          <w:szCs w:val="18"/>
        </w:rPr>
        <w:t xml:space="preserve"> card payments cannot facilitate instant play into a draw for that week and a minimum of one days lag will be effective. </w:t>
      </w:r>
    </w:p>
    <w:p w14:paraId="57498EC9" w14:textId="77777777" w:rsidR="00C6573D" w:rsidRPr="009D533E" w:rsidRDefault="00C6573D" w:rsidP="00C6573D">
      <w:pPr>
        <w:pStyle w:val="NormalWeb"/>
        <w:numPr>
          <w:ilvl w:val="1"/>
          <w:numId w:val="2"/>
        </w:numPr>
        <w:shd w:val="clear" w:color="auto" w:fill="FFFFFF"/>
        <w:spacing w:before="0" w:beforeAutospacing="0" w:after="0" w:afterAutospacing="0"/>
        <w:rPr>
          <w:rFonts w:asciiTheme="minorHAnsi" w:hAnsiTheme="minorHAnsi" w:cs="Arial"/>
          <w:color w:val="000000"/>
          <w:sz w:val="18"/>
          <w:szCs w:val="18"/>
        </w:rPr>
      </w:pPr>
      <w:r w:rsidRPr="009D533E">
        <w:rPr>
          <w:rFonts w:asciiTheme="minorHAnsi" w:hAnsiTheme="minorHAnsi" w:cs="Arial"/>
          <w:color w:val="000000"/>
          <w:sz w:val="18"/>
          <w:szCs w:val="18"/>
        </w:rPr>
        <w:t xml:space="preserve">The combination of these factors does ensure it limits the capability to facilitate instant </w:t>
      </w:r>
      <w:r w:rsidR="00C22F61">
        <w:rPr>
          <w:rFonts w:asciiTheme="minorHAnsi" w:hAnsiTheme="minorHAnsi" w:cs="Arial"/>
          <w:color w:val="000000"/>
          <w:sz w:val="18"/>
          <w:szCs w:val="18"/>
        </w:rPr>
        <w:t>gambling and therefore significantly reduces the</w:t>
      </w:r>
      <w:r w:rsidRPr="009D533E">
        <w:rPr>
          <w:rFonts w:asciiTheme="minorHAnsi" w:hAnsiTheme="minorHAnsi" w:cs="Arial"/>
          <w:color w:val="000000"/>
          <w:sz w:val="18"/>
          <w:szCs w:val="18"/>
        </w:rPr>
        <w:t xml:space="preserve"> risk of gambling whilst under the influence of drink or other substances. </w:t>
      </w:r>
    </w:p>
    <w:p w14:paraId="3BF7917B" w14:textId="77777777" w:rsidR="00C6573D" w:rsidRPr="009D533E" w:rsidRDefault="00C6573D" w:rsidP="00C6573D">
      <w:pPr>
        <w:pStyle w:val="NormalWeb"/>
        <w:shd w:val="clear" w:color="auto" w:fill="FFFFFF"/>
        <w:spacing w:before="0" w:beforeAutospacing="0" w:after="0" w:afterAutospacing="0"/>
        <w:rPr>
          <w:rFonts w:asciiTheme="minorHAnsi" w:hAnsiTheme="minorHAnsi" w:cs="Arial"/>
          <w:color w:val="000000"/>
          <w:sz w:val="18"/>
          <w:szCs w:val="18"/>
        </w:rPr>
      </w:pPr>
    </w:p>
    <w:p w14:paraId="2394FB12" w14:textId="77777777" w:rsidR="00C6573D" w:rsidRPr="009D533E" w:rsidRDefault="00C6573D" w:rsidP="00C6573D">
      <w:pPr>
        <w:pStyle w:val="NormalWeb"/>
        <w:numPr>
          <w:ilvl w:val="0"/>
          <w:numId w:val="2"/>
        </w:numPr>
        <w:shd w:val="clear" w:color="auto" w:fill="FFFFFF"/>
        <w:spacing w:before="0" w:beforeAutospacing="0" w:after="0" w:afterAutospacing="0"/>
        <w:rPr>
          <w:rFonts w:asciiTheme="minorHAnsi" w:hAnsiTheme="minorHAnsi" w:cs="Arial"/>
          <w:color w:val="000000"/>
          <w:sz w:val="18"/>
          <w:szCs w:val="18"/>
        </w:rPr>
      </w:pPr>
      <w:r w:rsidRPr="009D533E">
        <w:rPr>
          <w:rFonts w:asciiTheme="minorHAnsi" w:hAnsiTheme="minorHAnsi" w:cs="Arial"/>
          <w:color w:val="000000"/>
          <w:sz w:val="18"/>
          <w:szCs w:val="18"/>
        </w:rPr>
        <w:t>It is not possible to borrow money or be entered for lottery draws unless cleared funds have been accepted. No exceptions will be made to this position.</w:t>
      </w:r>
    </w:p>
    <w:p w14:paraId="25709DC9" w14:textId="77777777" w:rsidR="00C6573D" w:rsidRPr="009D533E" w:rsidRDefault="00C6573D" w:rsidP="00C6573D">
      <w:pPr>
        <w:pStyle w:val="NormalWeb"/>
        <w:shd w:val="clear" w:color="auto" w:fill="FFFFFF"/>
        <w:spacing w:before="0" w:beforeAutospacing="0" w:after="0" w:afterAutospacing="0"/>
        <w:ind w:left="360"/>
        <w:rPr>
          <w:rFonts w:asciiTheme="minorHAnsi" w:hAnsiTheme="minorHAnsi" w:cs="Arial"/>
          <w:color w:val="000000"/>
          <w:sz w:val="18"/>
          <w:szCs w:val="18"/>
        </w:rPr>
      </w:pPr>
      <w:r w:rsidRPr="009D533E">
        <w:rPr>
          <w:rFonts w:asciiTheme="minorHAnsi" w:hAnsiTheme="minorHAnsi" w:cs="Arial"/>
          <w:color w:val="000000"/>
          <w:sz w:val="18"/>
          <w:szCs w:val="18"/>
        </w:rPr>
        <w:br/>
      </w:r>
    </w:p>
    <w:p w14:paraId="6C61DCFE" w14:textId="77777777" w:rsidR="00C6573D" w:rsidRPr="009D533E" w:rsidRDefault="00C6573D" w:rsidP="00C6573D">
      <w:pPr>
        <w:pStyle w:val="NormalWeb"/>
        <w:numPr>
          <w:ilvl w:val="0"/>
          <w:numId w:val="2"/>
        </w:numPr>
        <w:shd w:val="clear" w:color="auto" w:fill="FFFFFF"/>
        <w:spacing w:before="0" w:beforeAutospacing="0" w:after="0" w:afterAutospacing="0"/>
        <w:rPr>
          <w:rFonts w:asciiTheme="minorHAnsi" w:hAnsiTheme="minorHAnsi" w:cs="Arial"/>
          <w:color w:val="000000"/>
          <w:sz w:val="18"/>
          <w:szCs w:val="18"/>
        </w:rPr>
      </w:pPr>
      <w:r w:rsidRPr="009D533E">
        <w:rPr>
          <w:rFonts w:asciiTheme="minorHAnsi" w:hAnsiTheme="minorHAnsi" w:cs="Arial"/>
          <w:color w:val="000000"/>
          <w:sz w:val="18"/>
          <w:szCs w:val="18"/>
        </w:rPr>
        <w:t>The system data provides facilities to track major changes in the lottery participation. Any significant outliers in the numbers of tickets will be investigated as part of ongoing assessments on the correct levels for ticket participation. </w:t>
      </w:r>
    </w:p>
    <w:p w14:paraId="0167E63A" w14:textId="77777777" w:rsidR="00C6573D" w:rsidRPr="009D533E" w:rsidRDefault="00C6573D" w:rsidP="00C6573D">
      <w:pPr>
        <w:pStyle w:val="NormalWeb"/>
        <w:shd w:val="clear" w:color="auto" w:fill="FFFFFF"/>
        <w:spacing w:before="0" w:beforeAutospacing="0" w:after="0" w:afterAutospacing="0"/>
        <w:ind w:left="360"/>
        <w:rPr>
          <w:rFonts w:asciiTheme="minorHAnsi" w:hAnsiTheme="minorHAnsi" w:cs="Arial"/>
          <w:color w:val="000000"/>
          <w:sz w:val="18"/>
          <w:szCs w:val="18"/>
        </w:rPr>
      </w:pPr>
      <w:r w:rsidRPr="009D533E">
        <w:rPr>
          <w:rFonts w:asciiTheme="minorHAnsi" w:hAnsiTheme="minorHAnsi" w:cs="Arial"/>
          <w:color w:val="000000"/>
          <w:sz w:val="18"/>
          <w:szCs w:val="18"/>
        </w:rPr>
        <w:br/>
      </w:r>
    </w:p>
    <w:p w14:paraId="09F7EC8E" w14:textId="77777777" w:rsidR="00C6573D" w:rsidRPr="00B851BC" w:rsidRDefault="00C6573D" w:rsidP="00C6573D">
      <w:pPr>
        <w:pStyle w:val="NormalWeb"/>
        <w:numPr>
          <w:ilvl w:val="0"/>
          <w:numId w:val="2"/>
        </w:numPr>
        <w:shd w:val="clear" w:color="auto" w:fill="FFFFFF"/>
        <w:spacing w:before="0" w:beforeAutospacing="0" w:after="0" w:afterAutospacing="0"/>
        <w:rPr>
          <w:rFonts w:asciiTheme="minorHAnsi" w:hAnsiTheme="minorHAnsi" w:cs="Arial"/>
          <w:color w:val="000000"/>
          <w:sz w:val="18"/>
          <w:szCs w:val="18"/>
        </w:rPr>
      </w:pPr>
      <w:bookmarkStart w:id="0" w:name="OLE_LINK1"/>
      <w:bookmarkStart w:id="1" w:name="OLE_LINK2"/>
      <w:r w:rsidRPr="00B851BC">
        <w:rPr>
          <w:rFonts w:asciiTheme="minorHAnsi" w:hAnsiTheme="minorHAnsi" w:cs="Arial"/>
          <w:color w:val="000000"/>
          <w:sz w:val="18"/>
          <w:szCs w:val="18"/>
        </w:rPr>
        <w:t xml:space="preserve">A process for </w:t>
      </w:r>
      <w:r w:rsidR="00740417" w:rsidRPr="00B851BC">
        <w:rPr>
          <w:rFonts w:asciiTheme="minorHAnsi" w:hAnsiTheme="minorHAnsi" w:cs="Arial"/>
          <w:color w:val="000000"/>
          <w:sz w:val="18"/>
          <w:szCs w:val="18"/>
        </w:rPr>
        <w:t>self-exclusion</w:t>
      </w:r>
      <w:r w:rsidRPr="00B851BC">
        <w:rPr>
          <w:rFonts w:asciiTheme="minorHAnsi" w:hAnsiTheme="minorHAnsi" w:cs="Arial"/>
          <w:color w:val="000000"/>
          <w:sz w:val="18"/>
          <w:szCs w:val="18"/>
        </w:rPr>
        <w:t xml:space="preserve"> from lottery participation exists to allow anyone to </w:t>
      </w:r>
      <w:r w:rsidR="00740417" w:rsidRPr="00B851BC">
        <w:rPr>
          <w:rFonts w:asciiTheme="minorHAnsi" w:hAnsiTheme="minorHAnsi" w:cs="Arial"/>
          <w:color w:val="000000"/>
          <w:sz w:val="18"/>
          <w:szCs w:val="18"/>
        </w:rPr>
        <w:t>self-exclude</w:t>
      </w:r>
      <w:r w:rsidRPr="00B851BC">
        <w:rPr>
          <w:rFonts w:asciiTheme="minorHAnsi" w:hAnsiTheme="minorHAnsi" w:cs="Arial"/>
          <w:color w:val="000000"/>
          <w:sz w:val="18"/>
          <w:szCs w:val="18"/>
        </w:rPr>
        <w:t xml:space="preserve"> </w:t>
      </w:r>
      <w:r w:rsidR="00740417" w:rsidRPr="00B851BC">
        <w:rPr>
          <w:rFonts w:asciiTheme="minorHAnsi" w:hAnsiTheme="minorHAnsi" w:cs="Arial"/>
          <w:color w:val="000000"/>
          <w:sz w:val="18"/>
          <w:szCs w:val="18"/>
        </w:rPr>
        <w:t>themselves.</w:t>
      </w:r>
    </w:p>
    <w:p w14:paraId="073AC0E2" w14:textId="77777777" w:rsidR="00C6573D" w:rsidRPr="00B851BC" w:rsidRDefault="00C6573D" w:rsidP="00C6573D">
      <w:pPr>
        <w:pStyle w:val="NormalWeb"/>
        <w:shd w:val="clear" w:color="auto" w:fill="FFFFFF"/>
        <w:spacing w:before="0" w:beforeAutospacing="0" w:after="0" w:afterAutospacing="0"/>
        <w:rPr>
          <w:rFonts w:asciiTheme="minorHAnsi" w:hAnsiTheme="minorHAnsi" w:cs="Arial"/>
          <w:color w:val="000000"/>
          <w:sz w:val="18"/>
          <w:szCs w:val="18"/>
        </w:rPr>
      </w:pPr>
    </w:p>
    <w:p w14:paraId="74064D0B" w14:textId="1C7B95D5" w:rsidR="00C6573D" w:rsidRPr="00B851BC" w:rsidRDefault="00C6573D" w:rsidP="00C6573D">
      <w:pPr>
        <w:pStyle w:val="NormalWeb"/>
        <w:numPr>
          <w:ilvl w:val="0"/>
          <w:numId w:val="2"/>
        </w:numPr>
        <w:shd w:val="clear" w:color="auto" w:fill="FFFFFF"/>
        <w:spacing w:before="0" w:beforeAutospacing="0" w:after="0" w:afterAutospacing="0"/>
        <w:rPr>
          <w:rFonts w:asciiTheme="minorHAnsi" w:hAnsiTheme="minorHAnsi" w:cs="Arial"/>
          <w:color w:val="000000"/>
          <w:sz w:val="18"/>
          <w:szCs w:val="18"/>
        </w:rPr>
      </w:pPr>
      <w:r w:rsidRPr="00B851BC">
        <w:rPr>
          <w:rFonts w:asciiTheme="minorHAnsi" w:hAnsiTheme="minorHAnsi" w:cs="Arial"/>
          <w:color w:val="000000"/>
          <w:sz w:val="18"/>
          <w:szCs w:val="18"/>
        </w:rPr>
        <w:t>Links to the support websites (</w:t>
      </w:r>
      <w:hyperlink r:id="rId7" w:history="1">
        <w:r w:rsidRPr="00B851BC">
          <w:rPr>
            <w:rStyle w:val="Hyperlink"/>
            <w:rFonts w:asciiTheme="minorHAnsi" w:hAnsiTheme="minorHAnsi" w:cs="Arial"/>
            <w:sz w:val="18"/>
            <w:szCs w:val="18"/>
            <w:shd w:val="clear" w:color="auto" w:fill="FFFFFF"/>
          </w:rPr>
          <w:t>www.</w:t>
        </w:r>
        <w:r w:rsidRPr="00B851BC">
          <w:rPr>
            <w:rStyle w:val="Hyperlink"/>
            <w:rFonts w:asciiTheme="minorHAnsi" w:hAnsiTheme="minorHAnsi" w:cs="Arial"/>
            <w:b/>
            <w:bCs/>
            <w:sz w:val="18"/>
            <w:szCs w:val="18"/>
            <w:shd w:val="clear" w:color="auto" w:fill="FFFFFF"/>
          </w:rPr>
          <w:t>gamcare</w:t>
        </w:r>
        <w:r w:rsidRPr="00B851BC">
          <w:rPr>
            <w:rStyle w:val="Hyperlink"/>
            <w:rFonts w:asciiTheme="minorHAnsi" w:hAnsiTheme="minorHAnsi" w:cs="Arial"/>
            <w:sz w:val="18"/>
            <w:szCs w:val="18"/>
            <w:shd w:val="clear" w:color="auto" w:fill="FFFFFF"/>
          </w:rPr>
          <w:t>.org.uk</w:t>
        </w:r>
      </w:hyperlink>
      <w:r w:rsidRPr="00B851BC">
        <w:rPr>
          <w:rFonts w:asciiTheme="minorHAnsi" w:hAnsiTheme="minorHAnsi" w:cs="Arial"/>
          <w:color w:val="006621"/>
          <w:sz w:val="18"/>
          <w:szCs w:val="18"/>
          <w:shd w:val="clear" w:color="auto" w:fill="FFFFFF"/>
        </w:rPr>
        <w:t xml:space="preserve"> </w:t>
      </w:r>
      <w:r w:rsidRPr="00B851BC">
        <w:rPr>
          <w:rFonts w:asciiTheme="minorHAnsi" w:hAnsiTheme="minorHAnsi" w:cs="Arial"/>
          <w:sz w:val="18"/>
          <w:szCs w:val="21"/>
          <w:shd w:val="clear" w:color="auto" w:fill="FFFFFF"/>
        </w:rPr>
        <w:t>&amp;</w:t>
      </w:r>
      <w:r w:rsidRPr="00B851BC">
        <w:rPr>
          <w:rFonts w:asciiTheme="minorHAnsi" w:hAnsiTheme="minorHAnsi" w:cs="Arial"/>
          <w:color w:val="006621"/>
          <w:sz w:val="21"/>
          <w:szCs w:val="21"/>
          <w:shd w:val="clear" w:color="auto" w:fill="FFFFFF"/>
        </w:rPr>
        <w:t xml:space="preserve"> </w:t>
      </w:r>
      <w:hyperlink r:id="rId8" w:history="1">
        <w:r w:rsidRPr="00B851BC">
          <w:rPr>
            <w:rStyle w:val="Hyperlink"/>
            <w:rFonts w:asciiTheme="minorHAnsi" w:hAnsiTheme="minorHAnsi" w:cs="Arial"/>
            <w:sz w:val="18"/>
            <w:szCs w:val="21"/>
            <w:shd w:val="clear" w:color="auto" w:fill="FFFFFF"/>
          </w:rPr>
          <w:t>www.Gambleaware.co.uk</w:t>
        </w:r>
      </w:hyperlink>
      <w:r w:rsidRPr="00B851BC">
        <w:rPr>
          <w:rFonts w:asciiTheme="minorHAnsi" w:hAnsiTheme="minorHAnsi" w:cs="Arial"/>
          <w:color w:val="006621"/>
          <w:sz w:val="18"/>
          <w:szCs w:val="21"/>
          <w:shd w:val="clear" w:color="auto" w:fill="FFFFFF"/>
        </w:rPr>
        <w:t xml:space="preserve">) </w:t>
      </w:r>
      <w:r w:rsidRPr="00B851BC">
        <w:rPr>
          <w:rFonts w:asciiTheme="minorHAnsi" w:hAnsiTheme="minorHAnsi" w:cs="Arial"/>
          <w:sz w:val="18"/>
          <w:szCs w:val="21"/>
          <w:shd w:val="clear" w:color="auto" w:fill="FFFFFF"/>
        </w:rPr>
        <w:t xml:space="preserve"> plus the National Gambling Helpline </w:t>
      </w:r>
      <w:r w:rsidRPr="00B851BC">
        <w:rPr>
          <w:rFonts w:asciiTheme="minorHAnsi" w:hAnsiTheme="minorHAnsi" w:cs="Arial"/>
          <w:color w:val="000000"/>
          <w:sz w:val="18"/>
          <w:szCs w:val="18"/>
        </w:rPr>
        <w:t xml:space="preserve"> are made available on the website to direct anyone to help and support should they need help from gambling additions. </w:t>
      </w:r>
      <w:r w:rsidR="00924579" w:rsidRPr="00924579">
        <w:rPr>
          <w:rFonts w:asciiTheme="minorHAnsi" w:hAnsiTheme="minorHAnsi" w:cstheme="minorHAnsi"/>
          <w:bCs/>
          <w:sz w:val="18"/>
          <w:szCs w:val="18"/>
        </w:rPr>
        <w:t>East Hampshire District</w:t>
      </w:r>
      <w:r w:rsidR="00924579" w:rsidRPr="00924579">
        <w:rPr>
          <w:bCs/>
          <w:sz w:val="18"/>
          <w:szCs w:val="18"/>
        </w:rPr>
        <w:t xml:space="preserve"> </w:t>
      </w:r>
      <w:r w:rsidR="004A33FF" w:rsidRPr="00924579">
        <w:rPr>
          <w:rFonts w:asciiTheme="minorHAnsi" w:hAnsiTheme="minorHAnsi" w:cs="Arial"/>
          <w:sz w:val="18"/>
          <w:szCs w:val="18"/>
        </w:rPr>
        <w:t>Council</w:t>
      </w:r>
      <w:r w:rsidRPr="00924579">
        <w:rPr>
          <w:rFonts w:asciiTheme="minorHAnsi" w:hAnsiTheme="minorHAnsi" w:cs="Arial"/>
          <w:sz w:val="18"/>
          <w:szCs w:val="18"/>
        </w:rPr>
        <w:t xml:space="preserve"> </w:t>
      </w:r>
      <w:r w:rsidR="00B81F56" w:rsidRPr="00924579">
        <w:rPr>
          <w:rFonts w:asciiTheme="minorHAnsi" w:hAnsiTheme="minorHAnsi" w:cs="Arial"/>
          <w:sz w:val="18"/>
          <w:szCs w:val="18"/>
        </w:rPr>
        <w:t>are also</w:t>
      </w:r>
      <w:r w:rsidRPr="00B851BC">
        <w:rPr>
          <w:rFonts w:asciiTheme="minorHAnsi" w:hAnsiTheme="minorHAnsi" w:cs="Arial"/>
          <w:color w:val="000000"/>
          <w:sz w:val="18"/>
          <w:szCs w:val="18"/>
        </w:rPr>
        <w:t xml:space="preserve"> a contributing member to their research and support</w:t>
      </w:r>
      <w:r w:rsidR="00B81F56">
        <w:rPr>
          <w:rFonts w:asciiTheme="minorHAnsi" w:hAnsiTheme="minorHAnsi" w:cs="Arial"/>
          <w:color w:val="000000"/>
          <w:sz w:val="18"/>
          <w:szCs w:val="18"/>
        </w:rPr>
        <w:t xml:space="preserve"> through membership of the </w:t>
      </w:r>
      <w:r w:rsidR="00C465EA">
        <w:rPr>
          <w:rFonts w:asciiTheme="minorHAnsi" w:hAnsiTheme="minorHAnsi" w:cs="Arial"/>
          <w:color w:val="000000"/>
          <w:sz w:val="18"/>
          <w:szCs w:val="18"/>
        </w:rPr>
        <w:t>L</w:t>
      </w:r>
      <w:r w:rsidR="00B81F56">
        <w:rPr>
          <w:rFonts w:asciiTheme="minorHAnsi" w:hAnsiTheme="minorHAnsi" w:cs="Arial"/>
          <w:color w:val="000000"/>
          <w:sz w:val="18"/>
          <w:szCs w:val="18"/>
        </w:rPr>
        <w:t xml:space="preserve">otteries </w:t>
      </w:r>
      <w:r w:rsidR="00C465EA">
        <w:rPr>
          <w:rFonts w:asciiTheme="minorHAnsi" w:hAnsiTheme="minorHAnsi" w:cs="Arial"/>
          <w:color w:val="000000"/>
          <w:sz w:val="18"/>
          <w:szCs w:val="18"/>
        </w:rPr>
        <w:t>C</w:t>
      </w:r>
      <w:r w:rsidR="00B81F56">
        <w:rPr>
          <w:rFonts w:asciiTheme="minorHAnsi" w:hAnsiTheme="minorHAnsi" w:cs="Arial"/>
          <w:color w:val="000000"/>
          <w:sz w:val="18"/>
          <w:szCs w:val="18"/>
        </w:rPr>
        <w:t>ouncil</w:t>
      </w:r>
      <w:r w:rsidRPr="00B851BC">
        <w:rPr>
          <w:rFonts w:asciiTheme="minorHAnsi" w:hAnsiTheme="minorHAnsi" w:cs="Arial"/>
          <w:color w:val="000000"/>
          <w:sz w:val="18"/>
          <w:szCs w:val="18"/>
        </w:rPr>
        <w:t>. </w:t>
      </w:r>
    </w:p>
    <w:bookmarkEnd w:id="0"/>
    <w:bookmarkEnd w:id="1"/>
    <w:p w14:paraId="30C68443" w14:textId="77777777" w:rsidR="00D64FD0" w:rsidRDefault="00C6573D" w:rsidP="00C6573D">
      <w:pPr>
        <w:pStyle w:val="NormalWeb"/>
        <w:shd w:val="clear" w:color="auto" w:fill="FFFFFF"/>
        <w:spacing w:before="0" w:beforeAutospacing="0" w:after="0" w:afterAutospacing="0"/>
        <w:rPr>
          <w:rFonts w:asciiTheme="minorHAnsi" w:hAnsiTheme="minorHAnsi" w:cs="Arial"/>
          <w:color w:val="000000"/>
          <w:sz w:val="18"/>
          <w:szCs w:val="18"/>
        </w:rPr>
      </w:pPr>
      <w:r w:rsidRPr="009D533E">
        <w:rPr>
          <w:rFonts w:asciiTheme="minorHAnsi" w:hAnsiTheme="minorHAnsi" w:cs="Arial"/>
          <w:color w:val="000000"/>
          <w:sz w:val="18"/>
          <w:szCs w:val="18"/>
        </w:rPr>
        <w:t> </w:t>
      </w:r>
    </w:p>
    <w:p w14:paraId="4ACCD7BB" w14:textId="77777777" w:rsidR="00D64FD0" w:rsidRDefault="00D64FD0">
      <w:pPr>
        <w:rPr>
          <w:rFonts w:eastAsia="Times New Roman" w:cs="Arial"/>
          <w:color w:val="000000"/>
          <w:sz w:val="18"/>
          <w:szCs w:val="18"/>
          <w:lang w:eastAsia="en-GB"/>
        </w:rPr>
      </w:pPr>
      <w:r>
        <w:rPr>
          <w:rFonts w:cs="Arial"/>
          <w:color w:val="000000"/>
          <w:sz w:val="18"/>
          <w:szCs w:val="18"/>
        </w:rPr>
        <w:br w:type="page"/>
      </w:r>
    </w:p>
    <w:p w14:paraId="2CE4739F" w14:textId="77777777" w:rsidR="00C6573D" w:rsidRPr="009D533E" w:rsidRDefault="00C6573D" w:rsidP="00C6573D">
      <w:pPr>
        <w:pStyle w:val="NormalWeb"/>
        <w:shd w:val="clear" w:color="auto" w:fill="FFFFFF"/>
        <w:spacing w:before="0" w:beforeAutospacing="0" w:after="0" w:afterAutospacing="0"/>
        <w:rPr>
          <w:rFonts w:asciiTheme="minorHAnsi" w:hAnsiTheme="minorHAnsi" w:cs="Arial"/>
          <w:color w:val="000000"/>
          <w:sz w:val="18"/>
          <w:szCs w:val="18"/>
        </w:rPr>
      </w:pPr>
    </w:p>
    <w:p w14:paraId="53345594" w14:textId="77777777" w:rsidR="00942DAC" w:rsidRPr="009D533E" w:rsidRDefault="00942DAC" w:rsidP="00942DAC">
      <w:pPr>
        <w:pStyle w:val="Default"/>
        <w:rPr>
          <w:rFonts w:asciiTheme="minorHAnsi" w:hAnsiTheme="minorHAnsi"/>
          <w:sz w:val="18"/>
          <w:szCs w:val="18"/>
        </w:rPr>
      </w:pPr>
    </w:p>
    <w:p w14:paraId="19C3FF29" w14:textId="77777777" w:rsidR="00176CD6" w:rsidRDefault="00176CD6" w:rsidP="00176CD6">
      <w:pPr>
        <w:pStyle w:val="Default"/>
        <w:rPr>
          <w:sz w:val="18"/>
          <w:szCs w:val="18"/>
        </w:rPr>
      </w:pPr>
    </w:p>
    <w:p w14:paraId="0F208D0F" w14:textId="77777777" w:rsidR="00176CD6" w:rsidRPr="001944C0" w:rsidRDefault="00176CD6" w:rsidP="001944C0">
      <w:pPr>
        <w:rPr>
          <w:rFonts w:cs="Lucida Sans"/>
          <w:b/>
          <w:bCs/>
          <w:i/>
          <w:color w:val="FF0000"/>
          <w:sz w:val="18"/>
          <w:szCs w:val="18"/>
        </w:rPr>
      </w:pPr>
    </w:p>
    <w:sectPr w:rsidR="00176CD6" w:rsidRPr="001944C0" w:rsidSect="00A711FA">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06711" w14:textId="77777777" w:rsidR="00335835" w:rsidRPr="00942DAC" w:rsidRDefault="00335835" w:rsidP="00942DAC">
      <w:pPr>
        <w:spacing w:after="0" w:line="240" w:lineRule="auto"/>
      </w:pPr>
      <w:r>
        <w:separator/>
      </w:r>
    </w:p>
  </w:endnote>
  <w:endnote w:type="continuationSeparator" w:id="0">
    <w:p w14:paraId="25273AFD" w14:textId="77777777" w:rsidR="00335835" w:rsidRPr="00942DAC" w:rsidRDefault="00335835" w:rsidP="00942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w:altName w:val="Lucida Sans Unicode"/>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1026"/>
      <w:gridCol w:w="4296"/>
    </w:tblGrid>
    <w:tr w:rsidR="00942DAC" w14:paraId="3577295A" w14:textId="77777777">
      <w:tc>
        <w:tcPr>
          <w:tcW w:w="0" w:type="auto"/>
        </w:tcPr>
        <w:p w14:paraId="7AD5D9CE" w14:textId="77777777" w:rsidR="00942DAC" w:rsidRDefault="00D70348">
          <w:pPr>
            <w:pStyle w:val="Footer"/>
          </w:pPr>
          <w:r>
            <w:pict w14:anchorId="63183CA6">
              <v:group id="_x0000_s2049" style="width:39pt;height:37.95pt;flip:y;mso-position-horizontal-relative:char;mso-position-vertical-relative:line" coordorigin="8754,11945" coordsize="2880,2859">
                <v:rect id="_x0000_s2050" style="position:absolute;left:10194;top:11945;width:1440;height:1440;flip:x;mso-width-relative:margin;v-text-anchor:middle" fillcolor="#bfbfbf [2412]" strokecolor="white [3212]" strokeweight="1pt">
                  <v:fill opacity=".5"/>
                  <v:shadow color="#d8d8d8 [2732]" offset="3pt,3pt" offset2="2pt,2pt"/>
                </v:rect>
                <v:rect id="_x0000_s2051" style="position:absolute;left:10194;top:13364;width:1440;height:1440;flip:x;mso-width-relative:margin;v-text-anchor:middle" fillcolor="#c0504d [3205]" strokecolor="white [3212]" strokeweight="1pt">
                  <v:shadow color="#d8d8d8 [2732]" offset="3pt,3pt" offset2="2pt,2pt"/>
                </v:rect>
                <v:rect id="_x0000_s2052" style="position:absolute;left:8754;top:13364;width:1440;height:1440;flip:x;mso-width-relative:margin;v-text-anchor:middle" fillcolor="#bfbfbf [2412]" strokecolor="white [3212]" strokeweight="1pt">
                  <v:fill opacity=".5"/>
                  <v:shadow color="#d8d8d8 [2732]" offset="3pt,3pt" offset2="2pt,2pt"/>
                </v:rect>
                <w10:wrap type="none" anchorx="margin" anchory="page"/>
                <w10:anchorlock/>
              </v:group>
            </w:pict>
          </w:r>
        </w:p>
      </w:tc>
      <w:tc>
        <w:tcPr>
          <w:tcW w:w="0" w:type="auto"/>
        </w:tcPr>
        <w:p w14:paraId="7911A86C" w14:textId="09CE7278" w:rsidR="00942DAC" w:rsidRDefault="00D16294" w:rsidP="009A4884">
          <w:pPr>
            <w:pStyle w:val="Footer"/>
          </w:pPr>
          <w:r>
            <w:t xml:space="preserve"> </w:t>
          </w:r>
          <w:r w:rsidR="00924579" w:rsidRPr="00924579">
            <w:rPr>
              <w:rFonts w:cstheme="minorHAnsi"/>
              <w:bCs/>
            </w:rPr>
            <w:t xml:space="preserve">East </w:t>
          </w:r>
          <w:r w:rsidR="00924579" w:rsidRPr="00924579">
            <w:rPr>
              <w:rFonts w:cstheme="minorHAnsi"/>
              <w:bCs/>
              <w:color w:val="000000" w:themeColor="text1"/>
            </w:rPr>
            <w:t>Hampshire District</w:t>
          </w:r>
          <w:r w:rsidRPr="00924579">
            <w:t xml:space="preserve"> Council</w:t>
          </w:r>
          <w:r w:rsidR="00942DAC">
            <w:t>| Confidential</w:t>
          </w:r>
        </w:p>
      </w:tc>
    </w:tr>
  </w:tbl>
  <w:p w14:paraId="377A2DC0" w14:textId="77777777" w:rsidR="00942DAC" w:rsidRDefault="00942D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84158" w14:textId="77777777" w:rsidR="00335835" w:rsidRPr="00942DAC" w:rsidRDefault="00335835" w:rsidP="00942DAC">
      <w:pPr>
        <w:spacing w:after="0" w:line="240" w:lineRule="auto"/>
      </w:pPr>
      <w:r>
        <w:separator/>
      </w:r>
    </w:p>
  </w:footnote>
  <w:footnote w:type="continuationSeparator" w:id="0">
    <w:p w14:paraId="22E343F8" w14:textId="77777777" w:rsidR="00335835" w:rsidRPr="00942DAC" w:rsidRDefault="00335835" w:rsidP="00942D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Look w:val="04A0" w:firstRow="1" w:lastRow="0" w:firstColumn="1" w:lastColumn="0" w:noHBand="0" w:noVBand="1"/>
    </w:tblPr>
    <w:tblGrid>
      <w:gridCol w:w="5039"/>
      <w:gridCol w:w="792"/>
    </w:tblGrid>
    <w:tr w:rsidR="00942DAC" w14:paraId="674E819F" w14:textId="77777777">
      <w:trPr>
        <w:trHeight w:hRule="exact" w:val="792"/>
        <w:jc w:val="right"/>
      </w:trPr>
      <w:tc>
        <w:tcPr>
          <w:tcW w:w="0" w:type="auto"/>
          <w:vAlign w:val="center"/>
        </w:tcPr>
        <w:p w14:paraId="5F453A6A" w14:textId="77777777" w:rsidR="00942DAC" w:rsidRDefault="004D0980" w:rsidP="00942DAC">
          <w:pPr>
            <w:pStyle w:val="Header"/>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Social Responsibility in Gambling </w:t>
          </w:r>
          <w:r w:rsidR="00176CD6">
            <w:rPr>
              <w:rFonts w:asciiTheme="majorHAnsi" w:eastAsiaTheme="majorEastAsia" w:hAnsiTheme="majorHAnsi" w:cstheme="majorBidi"/>
              <w:sz w:val="28"/>
              <w:szCs w:val="28"/>
            </w:rPr>
            <w:t xml:space="preserve"> Policy</w:t>
          </w:r>
        </w:p>
      </w:tc>
      <w:tc>
        <w:tcPr>
          <w:tcW w:w="792" w:type="dxa"/>
          <w:shd w:val="clear" w:color="auto" w:fill="C0504D" w:themeFill="accent2"/>
          <w:vAlign w:val="center"/>
        </w:tcPr>
        <w:p w14:paraId="7DDECC3F" w14:textId="77777777" w:rsidR="00942DAC" w:rsidRDefault="00752998">
          <w:pPr>
            <w:pStyle w:val="Header"/>
            <w:jc w:val="center"/>
            <w:rPr>
              <w:color w:val="FFFFFF" w:themeColor="background1"/>
            </w:rPr>
          </w:pPr>
          <w:r>
            <w:fldChar w:fldCharType="begin"/>
          </w:r>
          <w:r>
            <w:instrText xml:space="preserve"> PAGE  \* MERGEFORMAT </w:instrText>
          </w:r>
          <w:r>
            <w:fldChar w:fldCharType="separate"/>
          </w:r>
          <w:r w:rsidR="00FC4E9D" w:rsidRPr="00FC4E9D">
            <w:rPr>
              <w:noProof/>
              <w:color w:val="FFFFFF" w:themeColor="background1"/>
            </w:rPr>
            <w:t>1</w:t>
          </w:r>
          <w:r>
            <w:rPr>
              <w:noProof/>
              <w:color w:val="FFFFFF" w:themeColor="background1"/>
            </w:rPr>
            <w:fldChar w:fldCharType="end"/>
          </w:r>
        </w:p>
      </w:tc>
    </w:tr>
  </w:tbl>
  <w:p w14:paraId="49CFB0F7" w14:textId="77777777" w:rsidR="00942DAC" w:rsidRDefault="00942D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20ED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6E60B1A"/>
    <w:multiLevelType w:val="hybridMultilevel"/>
    <w:tmpl w:val="18D2B3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LMwNDS0NDY3MjcwNLdQ0lEKTi0uzszPAykwrAUAYk61VCwAAAA="/>
  </w:docVars>
  <w:rsids>
    <w:rsidRoot w:val="00AF2BF6"/>
    <w:rsid w:val="00176CD6"/>
    <w:rsid w:val="001944C0"/>
    <w:rsid w:val="00300038"/>
    <w:rsid w:val="00335835"/>
    <w:rsid w:val="003700FD"/>
    <w:rsid w:val="0039153D"/>
    <w:rsid w:val="00395787"/>
    <w:rsid w:val="003C6FE9"/>
    <w:rsid w:val="00450FC4"/>
    <w:rsid w:val="00491BB6"/>
    <w:rsid w:val="004A33FF"/>
    <w:rsid w:val="004C5EE6"/>
    <w:rsid w:val="004D0980"/>
    <w:rsid w:val="004D5470"/>
    <w:rsid w:val="005006D0"/>
    <w:rsid w:val="00503ACE"/>
    <w:rsid w:val="00505C80"/>
    <w:rsid w:val="005B15AE"/>
    <w:rsid w:val="00647D78"/>
    <w:rsid w:val="006855AB"/>
    <w:rsid w:val="006C1ACA"/>
    <w:rsid w:val="006D4501"/>
    <w:rsid w:val="00740417"/>
    <w:rsid w:val="00752998"/>
    <w:rsid w:val="00756329"/>
    <w:rsid w:val="007B6E67"/>
    <w:rsid w:val="00805B4F"/>
    <w:rsid w:val="008E0200"/>
    <w:rsid w:val="00924579"/>
    <w:rsid w:val="00942DAC"/>
    <w:rsid w:val="0095457F"/>
    <w:rsid w:val="00974F53"/>
    <w:rsid w:val="009A4884"/>
    <w:rsid w:val="009C5033"/>
    <w:rsid w:val="009D533E"/>
    <w:rsid w:val="009E75EB"/>
    <w:rsid w:val="00A5123B"/>
    <w:rsid w:val="00A711FA"/>
    <w:rsid w:val="00A819E7"/>
    <w:rsid w:val="00AE0A31"/>
    <w:rsid w:val="00AF2BF6"/>
    <w:rsid w:val="00AF668E"/>
    <w:rsid w:val="00B81F56"/>
    <w:rsid w:val="00B851BC"/>
    <w:rsid w:val="00BE198A"/>
    <w:rsid w:val="00C04D5C"/>
    <w:rsid w:val="00C22F61"/>
    <w:rsid w:val="00C465EA"/>
    <w:rsid w:val="00C53D7E"/>
    <w:rsid w:val="00C6573D"/>
    <w:rsid w:val="00CA14B8"/>
    <w:rsid w:val="00CC38EE"/>
    <w:rsid w:val="00D16294"/>
    <w:rsid w:val="00D64FD0"/>
    <w:rsid w:val="00D70348"/>
    <w:rsid w:val="00DF1D34"/>
    <w:rsid w:val="00E56092"/>
    <w:rsid w:val="00EE54D0"/>
    <w:rsid w:val="00F60236"/>
    <w:rsid w:val="00FA750D"/>
    <w:rsid w:val="00FC4E9D"/>
    <w:rsid w:val="00FC7DEC"/>
    <w:rsid w:val="00FF03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0A650C35"/>
  <w15:docId w15:val="{9CEC1238-7A37-4463-8E8D-FF26D4C40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1FA"/>
  </w:style>
  <w:style w:type="paragraph" w:styleId="Heading1">
    <w:name w:val="heading 1"/>
    <w:basedOn w:val="Normal"/>
    <w:next w:val="Normal"/>
    <w:link w:val="Heading1Char"/>
    <w:uiPriority w:val="9"/>
    <w:qFormat/>
    <w:rsid w:val="005B15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B15A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42DAC"/>
    <w:pPr>
      <w:autoSpaceDE w:val="0"/>
      <w:autoSpaceDN w:val="0"/>
      <w:adjustRightInd w:val="0"/>
      <w:spacing w:after="0" w:line="240" w:lineRule="auto"/>
    </w:pPr>
    <w:rPr>
      <w:rFonts w:ascii="Lucida Sans" w:hAnsi="Lucida Sans" w:cs="Lucida Sans"/>
      <w:color w:val="000000"/>
      <w:sz w:val="24"/>
      <w:szCs w:val="24"/>
    </w:rPr>
  </w:style>
  <w:style w:type="table" w:styleId="TableGrid">
    <w:name w:val="Table Grid"/>
    <w:basedOn w:val="TableNormal"/>
    <w:uiPriority w:val="59"/>
    <w:rsid w:val="00942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2D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DAC"/>
  </w:style>
  <w:style w:type="paragraph" w:styleId="Footer">
    <w:name w:val="footer"/>
    <w:basedOn w:val="Normal"/>
    <w:link w:val="FooterChar"/>
    <w:uiPriority w:val="99"/>
    <w:unhideWhenUsed/>
    <w:rsid w:val="00942D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DAC"/>
  </w:style>
  <w:style w:type="paragraph" w:styleId="BalloonText">
    <w:name w:val="Balloon Text"/>
    <w:basedOn w:val="Normal"/>
    <w:link w:val="BalloonTextChar"/>
    <w:uiPriority w:val="99"/>
    <w:semiHidden/>
    <w:unhideWhenUsed/>
    <w:rsid w:val="00942D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2DAC"/>
    <w:rPr>
      <w:rFonts w:ascii="Tahoma" w:hAnsi="Tahoma" w:cs="Tahoma"/>
      <w:sz w:val="16"/>
      <w:szCs w:val="16"/>
    </w:rPr>
  </w:style>
  <w:style w:type="character" w:customStyle="1" w:styleId="Heading1Char">
    <w:name w:val="Heading 1 Char"/>
    <w:basedOn w:val="DefaultParagraphFont"/>
    <w:link w:val="Heading1"/>
    <w:uiPriority w:val="9"/>
    <w:rsid w:val="005B15A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B15AE"/>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C6573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C6573D"/>
    <w:pPr>
      <w:ind w:left="720"/>
      <w:contextualSpacing/>
    </w:pPr>
  </w:style>
  <w:style w:type="character" w:styleId="Hyperlink">
    <w:name w:val="Hyperlink"/>
    <w:basedOn w:val="DefaultParagraphFont"/>
    <w:uiPriority w:val="99"/>
    <w:unhideWhenUsed/>
    <w:rsid w:val="00C6573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81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mbleaware.co.uk" TargetMode="External"/><Relationship Id="rId3" Type="http://schemas.openxmlformats.org/officeDocument/2006/relationships/settings" Target="settings.xml"/><Relationship Id="rId7" Type="http://schemas.openxmlformats.org/officeDocument/2006/relationships/hyperlink" Target="http://www.gamcare.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372</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Gatherwell Ltd</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c:creator>
  <cp:lastModifiedBy>Baulf, Charlotte</cp:lastModifiedBy>
  <cp:revision>18</cp:revision>
  <dcterms:created xsi:type="dcterms:W3CDTF">2017-06-07T13:15:00Z</dcterms:created>
  <dcterms:modified xsi:type="dcterms:W3CDTF">2022-05-06T10:41:00Z</dcterms:modified>
</cp:coreProperties>
</file>