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9F" w:rsidRDefault="00152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ucida Sans" w:eastAsia="Lucida Sans" w:hAnsi="Lucida Sans" w:cs="Lucida Sans"/>
          <w:color w:val="000000"/>
          <w:sz w:val="24"/>
          <w:szCs w:val="24"/>
        </w:rPr>
      </w:pPr>
    </w:p>
    <w:tbl>
      <w:tblPr>
        <w:tblStyle w:val="a"/>
        <w:tblW w:w="924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007"/>
      </w:tblGrid>
      <w:tr w:rsidR="0015279F">
        <w:trPr>
          <w:trHeight w:val="500"/>
        </w:trPr>
        <w:tc>
          <w:tcPr>
            <w:tcW w:w="2235" w:type="dxa"/>
          </w:tcPr>
          <w:p w:rsidR="0015279F" w:rsidRDefault="00E24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Policy Name</w:t>
            </w:r>
          </w:p>
        </w:tc>
        <w:tc>
          <w:tcPr>
            <w:tcW w:w="7007" w:type="dxa"/>
          </w:tcPr>
          <w:p w:rsidR="0015279F" w:rsidRDefault="00772A13" w:rsidP="0077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Remote Technical Standards</w:t>
            </w:r>
            <w:r w:rsidR="00E246E6">
              <w:rPr>
                <w:color w:val="000000"/>
                <w:sz w:val="18"/>
                <w:szCs w:val="18"/>
              </w:rPr>
              <w:t xml:space="preserve"> Policy</w:t>
            </w:r>
          </w:p>
        </w:tc>
      </w:tr>
      <w:tr w:rsidR="0015279F">
        <w:tc>
          <w:tcPr>
            <w:tcW w:w="2235" w:type="dxa"/>
          </w:tcPr>
          <w:p w:rsidR="0015279F" w:rsidRDefault="00E24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Policy Purpose</w:t>
            </w:r>
          </w:p>
        </w:tc>
        <w:tc>
          <w:tcPr>
            <w:tcW w:w="7007" w:type="dxa"/>
          </w:tcPr>
          <w:p w:rsidR="0015279F" w:rsidRDefault="003A4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Policy to address the requirements set out in the GC’s Remote Technical and Gambling Standards</w:t>
            </w:r>
          </w:p>
        </w:tc>
      </w:tr>
      <w:tr w:rsidR="009E0992">
        <w:tc>
          <w:tcPr>
            <w:tcW w:w="2235" w:type="dxa"/>
          </w:tcPr>
          <w:p w:rsidR="009E0992" w:rsidRDefault="009E0992" w:rsidP="009E0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Policy Created By</w:t>
            </w:r>
          </w:p>
        </w:tc>
        <w:tc>
          <w:tcPr>
            <w:tcW w:w="7007" w:type="dxa"/>
          </w:tcPr>
          <w:p w:rsidR="009E0992" w:rsidRPr="00453A41" w:rsidRDefault="00453A41" w:rsidP="009E0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53A41">
              <w:rPr>
                <w:sz w:val="18"/>
              </w:rPr>
              <w:t xml:space="preserve">Ben </w:t>
            </w:r>
            <w:proofErr w:type="spellStart"/>
            <w:r w:rsidRPr="00453A41">
              <w:rPr>
                <w:sz w:val="18"/>
              </w:rPr>
              <w:t>Speare</w:t>
            </w:r>
            <w:proofErr w:type="spellEnd"/>
          </w:p>
        </w:tc>
      </w:tr>
      <w:tr w:rsidR="0015279F">
        <w:tc>
          <w:tcPr>
            <w:tcW w:w="2235" w:type="dxa"/>
          </w:tcPr>
          <w:p w:rsidR="0015279F" w:rsidRDefault="00E24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Policy Created date</w:t>
            </w:r>
          </w:p>
        </w:tc>
        <w:tc>
          <w:tcPr>
            <w:tcW w:w="7007" w:type="dxa"/>
          </w:tcPr>
          <w:p w:rsidR="0015279F" w:rsidRPr="00453A41" w:rsidRDefault="00453A41" w:rsidP="0045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53A41">
              <w:rPr>
                <w:sz w:val="18"/>
              </w:rPr>
              <w:t>July 2019</w:t>
            </w:r>
          </w:p>
        </w:tc>
      </w:tr>
      <w:tr w:rsidR="0015279F">
        <w:tc>
          <w:tcPr>
            <w:tcW w:w="2235" w:type="dxa"/>
          </w:tcPr>
          <w:p w:rsidR="0015279F" w:rsidRDefault="00E24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Policy Validated and Checked By</w:t>
            </w:r>
          </w:p>
        </w:tc>
        <w:tc>
          <w:tcPr>
            <w:tcW w:w="7007" w:type="dxa"/>
          </w:tcPr>
          <w:p w:rsidR="0015279F" w:rsidRPr="00453A41" w:rsidRDefault="00453A41" w:rsidP="0045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53A41">
              <w:rPr>
                <w:sz w:val="18"/>
              </w:rPr>
              <w:t xml:space="preserve">Martin </w:t>
            </w:r>
            <w:proofErr w:type="spellStart"/>
            <w:r w:rsidRPr="00453A41">
              <w:rPr>
                <w:sz w:val="18"/>
              </w:rPr>
              <w:t>Woodhead</w:t>
            </w:r>
            <w:proofErr w:type="spellEnd"/>
          </w:p>
        </w:tc>
      </w:tr>
      <w:tr w:rsidR="0015279F">
        <w:tc>
          <w:tcPr>
            <w:tcW w:w="2235" w:type="dxa"/>
          </w:tcPr>
          <w:p w:rsidR="0015279F" w:rsidRDefault="00E24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Policy Validated and Checked Date</w:t>
            </w:r>
          </w:p>
        </w:tc>
        <w:tc>
          <w:tcPr>
            <w:tcW w:w="7007" w:type="dxa"/>
          </w:tcPr>
          <w:p w:rsidR="0015279F" w:rsidRDefault="00507721" w:rsidP="00507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April 2021</w:t>
            </w:r>
          </w:p>
        </w:tc>
      </w:tr>
      <w:tr w:rsidR="0015279F">
        <w:tc>
          <w:tcPr>
            <w:tcW w:w="2235" w:type="dxa"/>
          </w:tcPr>
          <w:p w:rsidR="0015279F" w:rsidRDefault="00E24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Policy Renewal Date</w:t>
            </w:r>
          </w:p>
        </w:tc>
        <w:tc>
          <w:tcPr>
            <w:tcW w:w="7007" w:type="dxa"/>
          </w:tcPr>
          <w:p w:rsidR="0015279F" w:rsidRDefault="00507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April 2022</w:t>
            </w:r>
          </w:p>
        </w:tc>
      </w:tr>
    </w:tbl>
    <w:p w:rsidR="0015279F" w:rsidRDefault="00772A13">
      <w:pPr>
        <w:pStyle w:val="Heading1"/>
      </w:pPr>
      <w:r>
        <w:t>Remote Technical Standards</w:t>
      </w:r>
    </w:p>
    <w:p w:rsidR="003A43D8" w:rsidRPr="003A43D8" w:rsidRDefault="003A43D8" w:rsidP="003A43D8"/>
    <w:p w:rsidR="00772A13" w:rsidRDefault="00772A13">
      <w:r>
        <w:t xml:space="preserve">The </w:t>
      </w:r>
      <w:r w:rsidR="003A43D8">
        <w:t>Gambling C</w:t>
      </w:r>
      <w:r>
        <w:t>ommi</w:t>
      </w:r>
      <w:r w:rsidR="003A43D8">
        <w:t>ssion Remote Technical and Gambling S</w:t>
      </w:r>
      <w:r>
        <w:t xml:space="preserve">tandards document can be found at </w:t>
      </w:r>
      <w:hyperlink r:id="rId7" w:history="1">
        <w:r>
          <w:rPr>
            <w:rStyle w:val="Hyperlink"/>
          </w:rPr>
          <w:t>https://www.gamblingcommission.gov.uk/PDF/Remote-gambling-and-software-technical-standards.pdf</w:t>
        </w:r>
      </w:hyperlink>
    </w:p>
    <w:p w:rsidR="00772A13" w:rsidRDefault="00772A13">
      <w:r>
        <w:t>In the document</w:t>
      </w:r>
      <w:r w:rsidR="003A43D8">
        <w:t>,</w:t>
      </w:r>
      <w:r>
        <w:t xml:space="preserve"> Annex A states that the following RTS apply to subscription lotteries</w:t>
      </w:r>
    </w:p>
    <w:p w:rsidR="00772A13" w:rsidRDefault="00772A13" w:rsidP="00772A13">
      <w:pPr>
        <w:pStyle w:val="ListParagraph"/>
        <w:numPr>
          <w:ilvl w:val="0"/>
          <w:numId w:val="4"/>
        </w:numPr>
      </w:pPr>
      <w:r>
        <w:t>RTS 2 – Displaying transactions</w:t>
      </w:r>
    </w:p>
    <w:p w:rsidR="00772A13" w:rsidRDefault="00772A13" w:rsidP="00772A13">
      <w:pPr>
        <w:pStyle w:val="ListParagraph"/>
        <w:numPr>
          <w:ilvl w:val="0"/>
          <w:numId w:val="4"/>
        </w:numPr>
      </w:pPr>
      <w:r>
        <w:t>RTS 3</w:t>
      </w:r>
      <w:r w:rsidR="004309BD">
        <w:t xml:space="preserve"> – </w:t>
      </w:r>
      <w:r>
        <w:t>Rules, game descriptions and likelihood of winning</w:t>
      </w:r>
    </w:p>
    <w:p w:rsidR="00772A13" w:rsidRDefault="00772A13" w:rsidP="00772A13">
      <w:pPr>
        <w:pStyle w:val="ListParagraph"/>
        <w:numPr>
          <w:ilvl w:val="0"/>
          <w:numId w:val="4"/>
        </w:numPr>
      </w:pPr>
      <w:r>
        <w:t>RTS 5 – result determination</w:t>
      </w:r>
    </w:p>
    <w:p w:rsidR="00772A13" w:rsidRDefault="00772A13" w:rsidP="00772A13">
      <w:pPr>
        <w:pStyle w:val="ListParagraph"/>
        <w:numPr>
          <w:ilvl w:val="0"/>
          <w:numId w:val="4"/>
        </w:numPr>
      </w:pPr>
      <w:r>
        <w:t>RTS 6 – Result determination for play for free games</w:t>
      </w:r>
    </w:p>
    <w:p w:rsidR="0015279F" w:rsidRDefault="00772A13" w:rsidP="00772A13">
      <w:pPr>
        <w:pStyle w:val="ListParagraph"/>
        <w:numPr>
          <w:ilvl w:val="0"/>
          <w:numId w:val="4"/>
        </w:numPr>
      </w:pPr>
      <w:r>
        <w:t xml:space="preserve">RTS 7 </w:t>
      </w:r>
      <w:r w:rsidR="004309BD">
        <w:t xml:space="preserve">– </w:t>
      </w:r>
      <w:r>
        <w:t>Generation of random outcomes</w:t>
      </w:r>
    </w:p>
    <w:p w:rsidR="00772A13" w:rsidRDefault="00772A13" w:rsidP="00772A13">
      <w:pPr>
        <w:pStyle w:val="ListParagraph"/>
        <w:numPr>
          <w:ilvl w:val="0"/>
          <w:numId w:val="4"/>
        </w:numPr>
      </w:pPr>
      <w:r>
        <w:t>RTS 13A – Time requirements</w:t>
      </w:r>
    </w:p>
    <w:p w:rsidR="00772A13" w:rsidRDefault="00772A13" w:rsidP="00772A13">
      <w:pPr>
        <w:pStyle w:val="ListParagraph"/>
        <w:numPr>
          <w:ilvl w:val="0"/>
          <w:numId w:val="4"/>
        </w:numPr>
      </w:pPr>
      <w:r>
        <w:t xml:space="preserve">RTS 14 </w:t>
      </w:r>
      <w:r w:rsidR="004309BD">
        <w:t xml:space="preserve">– </w:t>
      </w:r>
      <w:r>
        <w:t>Responsible product design</w:t>
      </w:r>
      <w:r w:rsidR="004309BD">
        <w:br/>
      </w:r>
    </w:p>
    <w:p w:rsidR="004309BD" w:rsidRPr="004309BD" w:rsidRDefault="006F1CD9" w:rsidP="004309BD">
      <w:pPr>
        <w:pStyle w:val="ListParagraph"/>
        <w:ind w:left="0"/>
        <w:rPr>
          <w:b/>
        </w:rPr>
      </w:pPr>
      <w:r>
        <w:rPr>
          <w:b/>
        </w:rPr>
        <w:t xml:space="preserve">NB </w:t>
      </w:r>
      <w:r w:rsidR="003A43D8">
        <w:rPr>
          <w:b/>
        </w:rPr>
        <w:t>Please note t</w:t>
      </w:r>
      <w:r w:rsidR="004309BD" w:rsidRPr="004309BD">
        <w:rPr>
          <w:b/>
        </w:rPr>
        <w:t xml:space="preserve">he lottery will be hosted on </w:t>
      </w:r>
      <w:proofErr w:type="spellStart"/>
      <w:r w:rsidR="004309BD" w:rsidRPr="004309BD">
        <w:rPr>
          <w:b/>
        </w:rPr>
        <w:t>Gatherwell’s</w:t>
      </w:r>
      <w:proofErr w:type="spellEnd"/>
      <w:r w:rsidR="004309BD" w:rsidRPr="004309BD">
        <w:rPr>
          <w:b/>
        </w:rPr>
        <w:t xml:space="preserve"> lottery system and therefore all answers to RTS defer to the Gatherwell platform  </w:t>
      </w:r>
    </w:p>
    <w:p w:rsidR="003A43D8" w:rsidRDefault="003A43D8">
      <w:pPr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br w:type="page"/>
      </w:r>
      <w:bookmarkStart w:id="0" w:name="_GoBack"/>
      <w:bookmarkEnd w:id="0"/>
    </w:p>
    <w:p w:rsidR="004309BD" w:rsidRPr="003A43D8" w:rsidRDefault="004309BD" w:rsidP="004309BD">
      <w:pPr>
        <w:pStyle w:val="Heading1"/>
        <w:rPr>
          <w:rStyle w:val="IntenseEmphasis"/>
        </w:rPr>
      </w:pPr>
      <w:r w:rsidRPr="003A43D8">
        <w:rPr>
          <w:rStyle w:val="IntenseEmphasis"/>
        </w:rPr>
        <w:lastRenderedPageBreak/>
        <w:t>RTS 2 – Displaying transactions</w:t>
      </w:r>
    </w:p>
    <w:p w:rsidR="004309BD" w:rsidRDefault="004309BD" w:rsidP="004309BD"/>
    <w:p w:rsidR="004309BD" w:rsidRPr="004309BD" w:rsidRDefault="004309BD" w:rsidP="004309BD">
      <w:r>
        <w:t>Transaction values are displayed to all players through the checkout process and on the players account.  In addition, players are e-mailed post purchase with confirmation of the transaction</w:t>
      </w:r>
      <w:r w:rsidR="003A43D8">
        <w:t xml:space="preserve"> including value and number of draws entered</w:t>
      </w:r>
    </w:p>
    <w:p w:rsidR="004309BD" w:rsidRPr="003A43D8" w:rsidRDefault="004309BD" w:rsidP="004309BD">
      <w:pPr>
        <w:pStyle w:val="Heading1"/>
        <w:rPr>
          <w:rStyle w:val="IntenseEmphasis"/>
        </w:rPr>
      </w:pPr>
      <w:r w:rsidRPr="003A43D8">
        <w:rPr>
          <w:rStyle w:val="IntenseEmphasis"/>
        </w:rPr>
        <w:t>RTS 3-Rules, game descriptions and likelihood of winning</w:t>
      </w:r>
    </w:p>
    <w:p w:rsidR="004309BD" w:rsidRDefault="004309BD" w:rsidP="004309BD"/>
    <w:p w:rsidR="004309BD" w:rsidRDefault="004309BD" w:rsidP="004309BD">
      <w:r>
        <w:t>All game rules are clearly displayed on the website.  Players must positively confirm their acceptance of the terms at account creation stage</w:t>
      </w:r>
      <w:r w:rsidR="003A43D8">
        <w:t>.</w:t>
      </w:r>
    </w:p>
    <w:p w:rsidR="003A43D8" w:rsidRPr="004309BD" w:rsidRDefault="003A43D8" w:rsidP="004309BD">
      <w:r>
        <w:t>Game rules detail the method for winning, % split of the entry price, winning odds and prize structure.</w:t>
      </w:r>
    </w:p>
    <w:p w:rsidR="004309BD" w:rsidRPr="003A43D8" w:rsidRDefault="004309BD" w:rsidP="004309BD">
      <w:pPr>
        <w:pStyle w:val="Heading1"/>
        <w:rPr>
          <w:rStyle w:val="IntenseEmphasis"/>
        </w:rPr>
      </w:pPr>
      <w:r w:rsidRPr="003A43D8">
        <w:rPr>
          <w:rStyle w:val="IntenseEmphasis"/>
        </w:rPr>
        <w:t>RTS 5 – result determination</w:t>
      </w:r>
    </w:p>
    <w:p w:rsidR="004309BD" w:rsidRDefault="004309BD" w:rsidP="004309BD"/>
    <w:p w:rsidR="004309BD" w:rsidRPr="004309BD" w:rsidRDefault="003A43D8" w:rsidP="004309BD">
      <w:r>
        <w:t>As referenced in the game rules the r</w:t>
      </w:r>
      <w:r w:rsidR="004309BD">
        <w:t xml:space="preserve">esults for the lottery are generated in a clear and transparent way </w:t>
      </w:r>
      <w:r w:rsidR="00D15D06">
        <w:t xml:space="preserve">with </w:t>
      </w:r>
      <w:r w:rsidR="004309BD">
        <w:t xml:space="preserve">alternative methods </w:t>
      </w:r>
      <w:r w:rsidR="00D15D06">
        <w:t>for generating wining combinations</w:t>
      </w:r>
      <w:r w:rsidR="004309BD">
        <w:t xml:space="preserve"> also outlined in the instance the primary method cannot be completed</w:t>
      </w:r>
      <w:r>
        <w:t>.</w:t>
      </w:r>
    </w:p>
    <w:p w:rsidR="004309BD" w:rsidRPr="003A43D8" w:rsidRDefault="004309BD" w:rsidP="004309BD">
      <w:pPr>
        <w:pStyle w:val="Heading1"/>
        <w:rPr>
          <w:rStyle w:val="IntenseEmphasis"/>
        </w:rPr>
      </w:pPr>
      <w:r w:rsidRPr="003A43D8">
        <w:rPr>
          <w:rStyle w:val="IntenseEmphasis"/>
        </w:rPr>
        <w:t>RTS 6 – Result determination for play for free games</w:t>
      </w:r>
    </w:p>
    <w:p w:rsidR="004309BD" w:rsidRDefault="004309BD" w:rsidP="004309BD"/>
    <w:p w:rsidR="004309BD" w:rsidRPr="004309BD" w:rsidRDefault="004309BD" w:rsidP="004309BD">
      <w:r>
        <w:t xml:space="preserve">In the instance where play for free games </w:t>
      </w:r>
      <w:r w:rsidR="003A43D8">
        <w:t xml:space="preserve">are </w:t>
      </w:r>
      <w:r>
        <w:t>offered</w:t>
      </w:r>
      <w:r w:rsidR="00D15D06">
        <w:t>,</w:t>
      </w:r>
      <w:r>
        <w:t xml:space="preserve"> the same rules apply for tickets irrelevant of </w:t>
      </w:r>
      <w:r w:rsidR="006F1CD9">
        <w:t>whether</w:t>
      </w:r>
      <w:r>
        <w:t xml:space="preserve"> entry was via</w:t>
      </w:r>
      <w:r w:rsidR="006F1CD9">
        <w:t xml:space="preserve"> a</w:t>
      </w:r>
      <w:r>
        <w:t xml:space="preserve"> purchased </w:t>
      </w:r>
      <w:r w:rsidR="006F1CD9">
        <w:t>chance or</w:t>
      </w:r>
      <w:r>
        <w:t xml:space="preserve"> free</w:t>
      </w:r>
      <w:r w:rsidR="006F1CD9">
        <w:t xml:space="preserve"> entry.</w:t>
      </w:r>
    </w:p>
    <w:p w:rsidR="004309BD" w:rsidRPr="003A43D8" w:rsidRDefault="004309BD" w:rsidP="004309BD">
      <w:pPr>
        <w:pStyle w:val="Heading1"/>
        <w:rPr>
          <w:rStyle w:val="IntenseEmphasis"/>
        </w:rPr>
      </w:pPr>
      <w:r w:rsidRPr="003A43D8">
        <w:rPr>
          <w:rStyle w:val="IntenseEmphasis"/>
        </w:rPr>
        <w:t>RTS 7 - Generation of random outcomes</w:t>
      </w:r>
    </w:p>
    <w:p w:rsidR="004309BD" w:rsidRDefault="004309BD" w:rsidP="004309BD"/>
    <w:p w:rsidR="006F1CD9" w:rsidRDefault="006F1CD9" w:rsidP="006F1CD9">
      <w:r>
        <w:t xml:space="preserve">Results for the lottery are generated in a clear and transparent way.  Where £25,000 jackpot prizes are offered, the use of an independently verifiable draw are taken (normally the Australian Super 66) to generate wining combinations.  </w:t>
      </w:r>
    </w:p>
    <w:p w:rsidR="006F1CD9" w:rsidRPr="004309BD" w:rsidRDefault="006F1CD9" w:rsidP="006F1CD9">
      <w:r>
        <w:t>Gatherwell also use Random.org to generate winners in raffle based draws</w:t>
      </w:r>
      <w:r w:rsidR="00056DFE">
        <w:t>.</w:t>
      </w:r>
    </w:p>
    <w:p w:rsidR="004309BD" w:rsidRPr="003A43D8" w:rsidRDefault="004309BD" w:rsidP="004309BD">
      <w:pPr>
        <w:pStyle w:val="Heading1"/>
        <w:rPr>
          <w:rStyle w:val="IntenseEmphasis"/>
        </w:rPr>
      </w:pPr>
      <w:r w:rsidRPr="003A43D8">
        <w:rPr>
          <w:rStyle w:val="IntenseEmphasis"/>
        </w:rPr>
        <w:lastRenderedPageBreak/>
        <w:t>RTS 13A – Time requirements</w:t>
      </w:r>
    </w:p>
    <w:p w:rsidR="006F1CD9" w:rsidRDefault="006F1CD9" w:rsidP="006F1CD9"/>
    <w:p w:rsidR="006F1CD9" w:rsidRPr="006F1CD9" w:rsidRDefault="006F1CD9" w:rsidP="006F1CD9">
      <w:r>
        <w:t>Entry into the draws is time dependent, with cut off into the weekly draw being at 11.59pm on the Friday evening prior to the Saturday draw.</w:t>
      </w:r>
    </w:p>
    <w:p w:rsidR="004309BD" w:rsidRPr="003A43D8" w:rsidRDefault="004309BD" w:rsidP="004309BD">
      <w:pPr>
        <w:pStyle w:val="Heading1"/>
        <w:rPr>
          <w:rStyle w:val="IntenseEmphasis"/>
        </w:rPr>
      </w:pPr>
      <w:r w:rsidRPr="003A43D8">
        <w:rPr>
          <w:rStyle w:val="IntenseEmphasis"/>
        </w:rPr>
        <w:t>RTS 14 -Responsible product design</w:t>
      </w:r>
    </w:p>
    <w:p w:rsidR="006F1CD9" w:rsidRDefault="006F1CD9" w:rsidP="006F1CD9"/>
    <w:p w:rsidR="007222A4" w:rsidRDefault="006F1CD9" w:rsidP="006F1CD9">
      <w:r>
        <w:t xml:space="preserve">The Gatherwell platform is designed to encourage participation to support good causes </w:t>
      </w:r>
      <w:r w:rsidR="007222A4">
        <w:t>in the objective of fundraising.</w:t>
      </w:r>
      <w:r w:rsidR="00D15D06">
        <w:t xml:space="preserve">  As such the design of the site is intended to drive positive behaviours and not stretch individuals beyond their means or encourage irresponsible behaviours.</w:t>
      </w:r>
    </w:p>
    <w:p w:rsidR="006F1CD9" w:rsidRPr="006F1CD9" w:rsidRDefault="00D15D06" w:rsidP="006F1CD9">
      <w:r>
        <w:t xml:space="preserve">There </w:t>
      </w:r>
      <w:r w:rsidR="007222A4">
        <w:t>are</w:t>
      </w:r>
      <w:r>
        <w:t xml:space="preserve"> appropriate age restriction messaging and account signup protocols as well as</w:t>
      </w:r>
      <w:r w:rsidR="007222A4">
        <w:t xml:space="preserve"> signposts to appropriate support organisations and self-exclusion policies should gambling be a problem.</w:t>
      </w:r>
    </w:p>
    <w:p w:rsidR="00772A13" w:rsidRDefault="003A43D8" w:rsidP="00772A13">
      <w:pPr>
        <w:pStyle w:val="Heading1"/>
      </w:pPr>
      <w:r>
        <w:t>Security R</w:t>
      </w:r>
      <w:r w:rsidR="00772A13">
        <w:t>equirements</w:t>
      </w:r>
    </w:p>
    <w:p w:rsidR="006F1CD9" w:rsidRDefault="00772A13" w:rsidP="00772A13">
      <w:r>
        <w:br/>
        <w:t>The l</w:t>
      </w:r>
      <w:r w:rsidR="004309BD">
        <w:t xml:space="preserve">ottery is being hosted on </w:t>
      </w:r>
      <w:proofErr w:type="spellStart"/>
      <w:r w:rsidR="004309BD">
        <w:t>Gatherwell’s</w:t>
      </w:r>
      <w:proofErr w:type="spellEnd"/>
      <w:r w:rsidR="004309BD">
        <w:t xml:space="preserve"> lottery system and as such we will rely on </w:t>
      </w:r>
      <w:proofErr w:type="spellStart"/>
      <w:r w:rsidR="007222A4">
        <w:t>Gatherwell</w:t>
      </w:r>
      <w:r w:rsidR="00D15D06">
        <w:t>’</w:t>
      </w:r>
      <w:r w:rsidR="007222A4">
        <w:t>s</w:t>
      </w:r>
      <w:proofErr w:type="spellEnd"/>
      <w:r w:rsidR="007222A4">
        <w:t xml:space="preserve"> information security policies, processes and procedures.  We are aware of </w:t>
      </w:r>
      <w:proofErr w:type="spellStart"/>
      <w:r w:rsidR="003A43D8">
        <w:t>Gatherwell’s</w:t>
      </w:r>
      <w:proofErr w:type="spellEnd"/>
      <w:r w:rsidR="007222A4">
        <w:t xml:space="preserve"> responsibility to be independently audited annually </w:t>
      </w:r>
      <w:r w:rsidR="003A43D8">
        <w:t>for their remote security and given we do not host the lottery ourselves</w:t>
      </w:r>
      <w:r w:rsidR="00D15D06">
        <w:t>,</w:t>
      </w:r>
      <w:r w:rsidR="003A43D8">
        <w:t xml:space="preserve"> will rely on </w:t>
      </w:r>
      <w:r w:rsidR="004309BD">
        <w:t>the</w:t>
      </w:r>
      <w:r w:rsidR="003A43D8">
        <w:t>ir</w:t>
      </w:r>
      <w:r w:rsidR="004309BD">
        <w:t xml:space="preserve"> security audit </w:t>
      </w:r>
      <w:r w:rsidR="003A43D8">
        <w:t>(normally completed in May each year)</w:t>
      </w:r>
      <w:r w:rsidR="004309BD">
        <w:t xml:space="preserve">.  </w:t>
      </w:r>
    </w:p>
    <w:p w:rsidR="00772A13" w:rsidRPr="00772A13" w:rsidRDefault="004309BD" w:rsidP="00772A13">
      <w:r>
        <w:t>On completion of their audit we will ensure we are aware of the</w:t>
      </w:r>
      <w:r w:rsidR="00D15D06">
        <w:t xml:space="preserve"> published</w:t>
      </w:r>
      <w:r>
        <w:t xml:space="preserve"> content and recommendations and present the information to the Gambling Commission as part of </w:t>
      </w:r>
      <w:r w:rsidR="003A43D8">
        <w:t>our</w:t>
      </w:r>
      <w:r>
        <w:t xml:space="preserve"> required audit considerations annually.</w:t>
      </w:r>
    </w:p>
    <w:sectPr w:rsidR="00772A13" w:rsidRPr="00772A13">
      <w:headerReference w:type="default" r:id="rId8"/>
      <w:footerReference w:type="default" r:id="rId9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3C" w:rsidRDefault="00182F3C">
      <w:pPr>
        <w:spacing w:after="0" w:line="240" w:lineRule="auto"/>
      </w:pPr>
      <w:r>
        <w:separator/>
      </w:r>
    </w:p>
  </w:endnote>
  <w:endnote w:type="continuationSeparator" w:id="0">
    <w:p w:rsidR="00182F3C" w:rsidRDefault="0018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9F" w:rsidRDefault="0015279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4259" w:type="dxa"/>
      <w:tblLayout w:type="fixed"/>
      <w:tblLook w:val="0400" w:firstRow="0" w:lastRow="0" w:firstColumn="0" w:lastColumn="0" w:noHBand="0" w:noVBand="1"/>
    </w:tblPr>
    <w:tblGrid>
      <w:gridCol w:w="1135"/>
      <w:gridCol w:w="3124"/>
    </w:tblGrid>
    <w:tr w:rsidR="0015279F" w:rsidTr="003F5DD0">
      <w:trPr>
        <w:trHeight w:val="709"/>
      </w:trPr>
      <w:tc>
        <w:tcPr>
          <w:tcW w:w="1135" w:type="dxa"/>
        </w:tcPr>
        <w:p w:rsidR="0015279F" w:rsidRDefault="00E246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color w:val="000000"/>
            </w:rPr>
          </w:pPr>
          <w:r>
            <w:rPr>
              <w:noProof/>
              <w:color w:val="000000"/>
            </w:rPr>
            <mc:AlternateContent>
              <mc:Choice Requires="wpg">
                <w:drawing>
                  <wp:inline distT="0" distB="0" distL="114300" distR="114300">
                    <wp:extent cx="495300" cy="469900"/>
                    <wp:effectExtent l="0" t="0" r="0" b="0"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95300" cy="469900"/>
                              <a:chOff x="5098350" y="3539019"/>
                              <a:chExt cx="495300" cy="481964"/>
                            </a:xfrm>
                          </wpg:grpSpPr>
                          <wpg:grpSp>
                            <wpg:cNvPr id="2" name="Group 2"/>
                            <wpg:cNvGrpSpPr/>
                            <wpg:grpSpPr>
                              <a:xfrm rot="10800000" flipH="1">
                                <a:off x="5098350" y="3539019"/>
                                <a:ext cx="495300" cy="481964"/>
                                <a:chOff x="0" y="0"/>
                                <a:chExt cx="495300" cy="481964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495300" cy="48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279F" w:rsidRDefault="0015279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 flipH="1">
                                  <a:off x="247650" y="0"/>
                                  <a:ext cx="247650" cy="2427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 w="12700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15279F" w:rsidRDefault="0015279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 flipH="1">
                                  <a:off x="247650" y="239212"/>
                                  <a:ext cx="247650" cy="2427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12700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15279F" w:rsidRDefault="0015279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 flipH="1">
                                  <a:off x="0" y="239212"/>
                                  <a:ext cx="247650" cy="2427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 w="12700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15279F" w:rsidRDefault="0015279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1" o:spid="_x0000_s1026" style="width:39pt;height:37pt;mso-position-horizontal-relative:char;mso-position-vertical-relative:line" coordorigin="50983,35390" coordsize="4953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">
                    <v:group id="Group 2" o:spid="_x0000_s1027" style="position:absolute;left:50983;top:35390;width:4953;height:4819;rotation:180;flip:x" coordsize="495300,48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">
                      <v:rect id="Rectangle 3" o:spid="_x0000_s1028" style="position:absolute;width:495300;height:48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15279F" w:rsidRDefault="0015279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4" o:spid="_x0000_s1029" style="position:absolute;left:247650;width:247650;height:2427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" fillcolor="#bfbfbf" strokecolor="white" strokeweight="1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:rsidR="0015279F" w:rsidRDefault="0015279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5" o:spid="_x0000_s1030" style="position:absolute;left:247650;top:239212;width:247650;height:2427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" fillcolor="#c0504d" strokecolor="white" strokeweight="1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:rsidR="0015279F" w:rsidRDefault="0015279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6" o:spid="_x0000_s1031" style="position:absolute;top:239212;width:247650;height:2427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" fillcolor="#bfbfbf" strokecolor="white" strokeweight="1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:rsidR="0015279F" w:rsidRDefault="0015279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3124" w:type="dxa"/>
        </w:tcPr>
        <w:p w:rsidR="0015279F" w:rsidRDefault="00453A41" w:rsidP="00453A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 xml:space="preserve">Gatherwell Ltd </w:t>
          </w:r>
          <w:r w:rsidR="003F5DD0">
            <w:rPr>
              <w:color w:val="000000"/>
            </w:rPr>
            <w:t>I C</w:t>
          </w:r>
          <w:r w:rsidR="00E246E6">
            <w:rPr>
              <w:color w:val="000000"/>
            </w:rPr>
            <w:t>onfidential</w:t>
          </w:r>
        </w:p>
      </w:tc>
    </w:tr>
  </w:tbl>
  <w:p w:rsidR="0015279F" w:rsidRDefault="001527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708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3C" w:rsidRDefault="00182F3C">
      <w:pPr>
        <w:spacing w:after="0" w:line="240" w:lineRule="auto"/>
      </w:pPr>
      <w:r>
        <w:separator/>
      </w:r>
    </w:p>
  </w:footnote>
  <w:footnote w:type="continuationSeparator" w:id="0">
    <w:p w:rsidR="00182F3C" w:rsidRDefault="0018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9F" w:rsidRDefault="0015279F">
    <w:pPr>
      <w:widowControl w:val="0"/>
      <w:pBdr>
        <w:top w:val="nil"/>
        <w:left w:val="nil"/>
        <w:bottom w:val="nil"/>
        <w:right w:val="nil"/>
        <w:between w:val="nil"/>
      </w:pBdr>
      <w:spacing w:before="708" w:after="0"/>
      <w:rPr>
        <w:color w:val="000000"/>
        <w:sz w:val="20"/>
        <w:szCs w:val="20"/>
      </w:rPr>
    </w:pPr>
  </w:p>
  <w:tbl>
    <w:tblPr>
      <w:tblStyle w:val="a2"/>
      <w:tblW w:w="4284" w:type="dxa"/>
      <w:jc w:val="right"/>
      <w:tblLayout w:type="fixed"/>
      <w:tblLook w:val="0400" w:firstRow="0" w:lastRow="0" w:firstColumn="0" w:lastColumn="0" w:noHBand="0" w:noVBand="1"/>
    </w:tblPr>
    <w:tblGrid>
      <w:gridCol w:w="3492"/>
      <w:gridCol w:w="792"/>
    </w:tblGrid>
    <w:tr w:rsidR="0015279F">
      <w:trPr>
        <w:trHeight w:val="780"/>
        <w:jc w:val="right"/>
      </w:trPr>
      <w:tc>
        <w:tcPr>
          <w:tcW w:w="3492" w:type="dxa"/>
          <w:vAlign w:val="center"/>
        </w:tcPr>
        <w:p w:rsidR="0015279F" w:rsidRDefault="00772A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Cambria" w:eastAsia="Cambria" w:hAnsi="Cambria" w:cs="Cambria"/>
              <w:color w:val="000000"/>
              <w:sz w:val="28"/>
              <w:szCs w:val="28"/>
            </w:rPr>
          </w:pPr>
          <w:r>
            <w:rPr>
              <w:rFonts w:ascii="Cambria" w:eastAsia="Cambria" w:hAnsi="Cambria" w:cs="Cambria"/>
              <w:color w:val="000000"/>
              <w:sz w:val="28"/>
              <w:szCs w:val="28"/>
            </w:rPr>
            <w:t>Remote Technical Standards Policy</w:t>
          </w:r>
        </w:p>
      </w:tc>
      <w:tc>
        <w:tcPr>
          <w:tcW w:w="792" w:type="dxa"/>
          <w:shd w:val="clear" w:color="auto" w:fill="C0504D"/>
          <w:vAlign w:val="center"/>
        </w:tcPr>
        <w:p w:rsidR="0015279F" w:rsidRDefault="00E246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FFFFFF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453A41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</w:p>
      </w:tc>
    </w:tr>
  </w:tbl>
  <w:p w:rsidR="0015279F" w:rsidRDefault="001527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F281C"/>
    <w:multiLevelType w:val="multilevel"/>
    <w:tmpl w:val="E6F26EE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4438590D"/>
    <w:multiLevelType w:val="hybridMultilevel"/>
    <w:tmpl w:val="43602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70F43"/>
    <w:multiLevelType w:val="multilevel"/>
    <w:tmpl w:val="658410E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C5243E7"/>
    <w:multiLevelType w:val="multilevel"/>
    <w:tmpl w:val="865ACC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wNDEzMjAxBTLMDZV0lIJTi4sz8/NACoxqAVIHGcgsAAAA"/>
  </w:docVars>
  <w:rsids>
    <w:rsidRoot w:val="0015279F"/>
    <w:rsid w:val="00056DFE"/>
    <w:rsid w:val="0015279F"/>
    <w:rsid w:val="00182F3C"/>
    <w:rsid w:val="003A43D8"/>
    <w:rsid w:val="003F5DD0"/>
    <w:rsid w:val="004309BD"/>
    <w:rsid w:val="00451709"/>
    <w:rsid w:val="00453A41"/>
    <w:rsid w:val="0047174C"/>
    <w:rsid w:val="00507721"/>
    <w:rsid w:val="006F1CD9"/>
    <w:rsid w:val="007222A4"/>
    <w:rsid w:val="00772A13"/>
    <w:rsid w:val="008A62AC"/>
    <w:rsid w:val="009E0992"/>
    <w:rsid w:val="00D15D06"/>
    <w:rsid w:val="00D82F7E"/>
    <w:rsid w:val="00E246E6"/>
    <w:rsid w:val="00F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47DD8"/>
  <w15:docId w15:val="{BDD3136F-D37C-4380-85FD-FA695F91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A13"/>
  </w:style>
  <w:style w:type="paragraph" w:styleId="Footer">
    <w:name w:val="footer"/>
    <w:basedOn w:val="Normal"/>
    <w:link w:val="FooterChar"/>
    <w:uiPriority w:val="99"/>
    <w:unhideWhenUsed/>
    <w:rsid w:val="0077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A13"/>
  </w:style>
  <w:style w:type="character" w:styleId="Hyperlink">
    <w:name w:val="Hyperlink"/>
    <w:basedOn w:val="DefaultParagraphFont"/>
    <w:uiPriority w:val="99"/>
    <w:semiHidden/>
    <w:unhideWhenUsed/>
    <w:rsid w:val="00772A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2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3D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mblingcommission.gov.uk/PDF/Remote-gambling-and-software-technical-standard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Speare</dc:creator>
  <cp:lastModifiedBy>Phil Wright</cp:lastModifiedBy>
  <cp:revision>9</cp:revision>
  <dcterms:created xsi:type="dcterms:W3CDTF">2019-07-19T14:24:00Z</dcterms:created>
  <dcterms:modified xsi:type="dcterms:W3CDTF">2021-06-01T16:05:00Z</dcterms:modified>
</cp:coreProperties>
</file>