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85" w:rsidRDefault="00E47E85" w:rsidP="00E47E85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bookmarkStart w:id="0" w:name="_GoBack"/>
      <w:bookmarkEnd w:id="0"/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Послуги по догляду за маленькими дітьми</w:t>
      </w:r>
    </w:p>
    <w:p w:rsidR="00E47E85" w:rsidRDefault="00E47E85" w:rsidP="00E47E85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Інформація про догляд за дітьми та дошкільну освіту</w:t>
      </w:r>
    </w:p>
    <w:p w:rsidR="00B71BA6" w:rsidRDefault="00B71BA6" w:rsidP="00E47E8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Види догляду за дітьми</w:t>
      </w: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У Великій Британії є різні типи служб, які надають догляд за дітьми. Вони призначені для батьків/опікунів , щоб вони могли працювати, навчатися, відвідувати навчання або, можливо, піклуватися про інших </w:t>
      </w:r>
      <w:r>
        <w:rPr>
          <w:rStyle w:val="y2iqfc"/>
          <w:rFonts w:ascii="inherit" w:hAnsi="inherit" w:hint="eastAsia"/>
          <w:color w:val="202124"/>
          <w:sz w:val="42"/>
          <w:szCs w:val="42"/>
          <w:lang w:val="uk-UA"/>
        </w:rPr>
        <w:t>ч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ленів сім’ї.</w:t>
      </w: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Існують служби догляду за дітьми, які також надають освіту в ранньому віці та зареєстровані в</w:t>
      </w: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Office for Standards in Education, Children&amp;#39;S Services and Skills – скорочено Ofsted. Це:</w:t>
      </w: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sym w:font="Symbol" w:char="F0B7"/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>няні – які доглядають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у власному домі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за 6дітьми або менше як окремі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працівники; або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за 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більш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ою кількістю 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дітей, якщо вони працюють з іншими нянями або наймають помічників. Вони можуть доглядати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за літьми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від народження до середньог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о шкільного віку. Вони працюють </w:t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більшу частину року.</w:t>
      </w:r>
    </w:p>
    <w:p w:rsidR="00B71BA6" w:rsidRDefault="00B71BA6" w:rsidP="00B71BA6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sym w:font="Symbol" w:char="F0B7"/>
      </w: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Ясла – які виховують групи дітей у приватних або орендованих приміщеннях. Вони піклуються</w:t>
      </w:r>
      <w:r w:rsidR="00A03633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про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lastRenderedPageBreak/>
        <w:t>дітей від моменту народження до моменту, коли вони підуть до школи. Вони відкриті більшу частину року.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sym w:font="Symbol" w:char="F0B7"/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Дошкільні заклади – які займаються групами дітей у приватних або оре</w:t>
      </w:r>
      <w:r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ндованих приміщеннях, таких як </w:t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церковний зал або громадський центр. Доглядають за дітьми від 2,5 років до початку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школа. Вони, як і школи, є лише відкритими.</w:t>
      </w:r>
    </w:p>
    <w:p w:rsidR="00B71BA6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Після того, як діти пішли до школи, в</w:t>
      </w:r>
      <w:r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они мають мождивість</w:t>
      </w:r>
      <w:r>
        <w:rPr>
          <w:rFonts w:ascii="inherit" w:eastAsia="Times New Roman" w:hAnsi="inherit" w:cs="Courier New"/>
          <w:color w:val="202124"/>
          <w:sz w:val="42"/>
          <w:szCs w:val="42"/>
          <w:lang w:val="en-GB"/>
        </w:rPr>
        <w:t>: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Перед школою або клубами для сніданку – діти шкільного ві</w:t>
      </w:r>
      <w:r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ку можуть відвідувати шкільні гуртки</w:t>
      </w:r>
      <w:r w:rsidR="00BF34FB">
        <w:rPr>
          <w:rFonts w:ascii="inherit" w:eastAsia="Times New Roman" w:hAnsi="inherit" w:cs="Courier New"/>
          <w:color w:val="202124"/>
          <w:sz w:val="42"/>
          <w:szCs w:val="42"/>
          <w:lang w:val="en-GB"/>
        </w:rPr>
        <w:t>,</w:t>
      </w:r>
      <w:r w:rsidR="00BF34FB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які функціонують, якщо батьки працюють чи навчаються.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sym w:font="Symbol" w:char="F0B7"/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Гуртки позашкільного віку – діти шкільного віку можуть відвідувати гуртки після початку уроків, якщо батьки</w:t>
      </w:r>
    </w:p>
    <w:p w:rsidR="00A03633" w:rsidRPr="00A03633" w:rsidRDefault="00BF34FB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працюють, навчаються чи треную</w:t>
      </w:r>
      <w:r w:rsidR="00A03633"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ться.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sym w:font="Symbol" w:char="F0B7"/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Ігрові програми або гуртки під час канікул – діти шкільного віку можуть відвідувати гуртки на канікулах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коли школи закриті, а батьки працюють.</w:t>
      </w:r>
    </w:p>
    <w:p w:rsidR="00BF34FB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sym w:font="Symbol" w:char="F0B7"/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Няні – можуть забезпечити догляд до та після школи, </w:t>
      </w:r>
      <w:r w:rsidR="00BF34FB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а також під час шкільних канікул.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lastRenderedPageBreak/>
        <w:t xml:space="preserve">Батьки повинні будуть платити за весь комплексний догляд за дітьми, який надають клуби, як </w:t>
      </w:r>
      <w:r w:rsidR="00BF34FB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за </w:t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приватну домовленість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з п</w:t>
      </w:r>
      <w:r w:rsidR="00BF34FB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остачальником послуг. Може надаватися допомога щодо цих витрат</w:t>
      </w: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 xml:space="preserve"> по догляду за дітьми, якщо батьки отримують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Універсальний кредит або мати рахунок Tax-Free Childcare. Додаткову інформацію можна отримати в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Веб-сайт урядової організації Childcare Choices: Childcare Choices | 30 годин безкоштовного догляду за дітьми, без податків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A03633">
        <w:rPr>
          <w:rFonts w:ascii="inherit" w:eastAsia="Times New Roman" w:hAnsi="inherit" w:cs="Courier New"/>
          <w:color w:val="202124"/>
          <w:sz w:val="42"/>
          <w:szCs w:val="42"/>
          <w:lang w:val="uk-UA"/>
        </w:rPr>
        <w:t>Догляд за дітьми та інше | Довідка з витратами | GOV.UK</w:t>
      </w: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Діти, які отримують пільгове безкоштовне шкільне харчування та нещодавно прибулі діти з України</w:t>
      </w: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і Афганістан також мають право на участь у програмі святкових заходів і харчування (HAF).  Діти мають можливість насолоджуватися безкоштовними канікулами та щодня отримувати гаряче харчування.</w:t>
      </w: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lastRenderedPageBreak/>
        <w:t>щонайменше чотири години на день, чотири дні на тиждень і протягом шести тижнів на рік. Це охоплює чотири тижні в</w:t>
      </w: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літо та тижневий запас на кожне з Великодніх та Різдвяних свят.</w:t>
      </w:r>
    </w:p>
    <w:p w:rsidR="00C020B2" w:rsidRDefault="00C020B2" w:rsidP="00C020B2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Організації також зможуть пропонувати додаткові місця для платних сімей.</w:t>
      </w:r>
    </w:p>
    <w:p w:rsidR="00A03633" w:rsidRPr="00A03633" w:rsidRDefault="00A03633" w:rsidP="00A036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/>
        </w:rPr>
      </w:pPr>
    </w:p>
    <w:p w:rsidR="004C1003" w:rsidRPr="00A10F52" w:rsidRDefault="002E10D2" w:rsidP="00AE459A">
      <w:pPr>
        <w:rPr>
          <w:lang w:val="en-GB"/>
        </w:rPr>
      </w:pPr>
    </w:p>
    <w:sectPr w:rsidR="004C1003" w:rsidRPr="00A1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9A"/>
    <w:rsid w:val="00006B6B"/>
    <w:rsid w:val="00196E9A"/>
    <w:rsid w:val="00270126"/>
    <w:rsid w:val="002E10D2"/>
    <w:rsid w:val="00417DA6"/>
    <w:rsid w:val="004C78D1"/>
    <w:rsid w:val="006F28DF"/>
    <w:rsid w:val="00A03633"/>
    <w:rsid w:val="00A10F52"/>
    <w:rsid w:val="00A76527"/>
    <w:rsid w:val="00AE459A"/>
    <w:rsid w:val="00B71BA6"/>
    <w:rsid w:val="00BF34FB"/>
    <w:rsid w:val="00C020B2"/>
    <w:rsid w:val="00DA3FBA"/>
    <w:rsid w:val="00E47E85"/>
    <w:rsid w:val="00E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DD4A8-96F4-4472-AAA8-8A68549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6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E9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9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adviser</dc:creator>
  <cp:keywords/>
  <dc:description/>
  <cp:lastModifiedBy>CEO CA New Forest</cp:lastModifiedBy>
  <cp:revision>2</cp:revision>
  <dcterms:created xsi:type="dcterms:W3CDTF">2022-07-04T11:47:00Z</dcterms:created>
  <dcterms:modified xsi:type="dcterms:W3CDTF">2022-07-04T11:47:00Z</dcterms:modified>
</cp:coreProperties>
</file>