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3118" w14:textId="77777777" w:rsidR="00927F05" w:rsidRDefault="00927F05" w:rsidP="00927F05">
      <w:pPr>
        <w:pStyle w:val="Default"/>
        <w:jc w:val="center"/>
        <w:rPr>
          <w:b/>
          <w:sz w:val="36"/>
          <w:szCs w:val="36"/>
        </w:rPr>
      </w:pPr>
      <w:r>
        <w:rPr>
          <w:b/>
          <w:sz w:val="36"/>
          <w:szCs w:val="36"/>
        </w:rPr>
        <w:t>Retail, Hospitality &amp; Leisure Business Rates Relief</w:t>
      </w:r>
    </w:p>
    <w:p w14:paraId="1E2884E9" w14:textId="21B92E0E" w:rsidR="00BF5C8B" w:rsidRDefault="00927F05" w:rsidP="00BF5C8B">
      <w:pPr>
        <w:pStyle w:val="Default"/>
        <w:jc w:val="center"/>
        <w:rPr>
          <w:b/>
          <w:sz w:val="36"/>
          <w:szCs w:val="36"/>
        </w:rPr>
      </w:pPr>
      <w:r>
        <w:rPr>
          <w:b/>
          <w:sz w:val="36"/>
          <w:szCs w:val="36"/>
        </w:rPr>
        <w:t>Guidance Notes</w:t>
      </w:r>
      <w:r w:rsidR="00BF5C8B">
        <w:rPr>
          <w:b/>
          <w:sz w:val="36"/>
          <w:szCs w:val="36"/>
        </w:rPr>
        <w:t xml:space="preserve"> 2023-24</w:t>
      </w:r>
    </w:p>
    <w:p w14:paraId="3FE06251" w14:textId="77777777" w:rsidR="00BF5C8B" w:rsidRDefault="00BF5C8B" w:rsidP="00927F05">
      <w:pPr>
        <w:pStyle w:val="Default"/>
        <w:jc w:val="center"/>
        <w:rPr>
          <w:b/>
          <w:sz w:val="36"/>
          <w:szCs w:val="36"/>
        </w:rPr>
      </w:pPr>
    </w:p>
    <w:p w14:paraId="31B48AB1" w14:textId="096A888C" w:rsidR="00927F05" w:rsidRPr="00730C10"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730C10">
        <w:rPr>
          <w:rFonts w:ascii="Arial" w:eastAsia="Times New Roman" w:hAnsi="Arial" w:cs="Arial"/>
          <w:color w:val="0B0C0C"/>
          <w:sz w:val="28"/>
          <w:szCs w:val="28"/>
          <w:lang w:eastAsia="en-GB"/>
        </w:rPr>
        <w:t xml:space="preserve">At the Autumn Statement on 17 November 2022 the Chancellor announced the introduction of a new business rates relief scheme for retail, </w:t>
      </w:r>
      <w:r w:rsidR="00472730" w:rsidRPr="00730C10">
        <w:rPr>
          <w:rFonts w:ascii="Arial" w:eastAsia="Times New Roman" w:hAnsi="Arial" w:cs="Arial"/>
          <w:color w:val="0B0C0C"/>
          <w:sz w:val="28"/>
          <w:szCs w:val="28"/>
          <w:lang w:eastAsia="en-GB"/>
        </w:rPr>
        <w:t>hospitality,</w:t>
      </w:r>
      <w:r w:rsidRPr="00730C10">
        <w:rPr>
          <w:rFonts w:ascii="Arial" w:eastAsia="Times New Roman" w:hAnsi="Arial" w:cs="Arial"/>
          <w:color w:val="0B0C0C"/>
          <w:sz w:val="28"/>
          <w:szCs w:val="28"/>
          <w:lang w:eastAsia="en-GB"/>
        </w:rPr>
        <w:t xml:space="preserve"> and leisure properties worth around £2.1 billion in 2023/24. This will support the businesses that make our high streets and town centres a success and help them to evolve and adapt to changing consumer demands.</w:t>
      </w:r>
    </w:p>
    <w:p w14:paraId="76397972" w14:textId="28C816B7" w:rsidR="00927F05" w:rsidRPr="00D07EC7"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730C10">
        <w:rPr>
          <w:rFonts w:ascii="Arial" w:eastAsia="Times New Roman" w:hAnsi="Arial" w:cs="Arial"/>
          <w:color w:val="0B0C0C"/>
          <w:sz w:val="28"/>
          <w:szCs w:val="28"/>
          <w:lang w:eastAsia="en-GB"/>
        </w:rPr>
        <w:t xml:space="preserve">The 2023/24 Retail, Hospitality and Leisure Business Rates Relief scheme will provide eligible, occupied, retail, </w:t>
      </w:r>
      <w:r w:rsidR="00472730" w:rsidRPr="00730C10">
        <w:rPr>
          <w:rFonts w:ascii="Arial" w:eastAsia="Times New Roman" w:hAnsi="Arial" w:cs="Arial"/>
          <w:color w:val="0B0C0C"/>
          <w:sz w:val="28"/>
          <w:szCs w:val="28"/>
          <w:lang w:eastAsia="en-GB"/>
        </w:rPr>
        <w:t>hospitality,</w:t>
      </w:r>
      <w:r w:rsidRPr="00730C10">
        <w:rPr>
          <w:rFonts w:ascii="Arial" w:eastAsia="Times New Roman" w:hAnsi="Arial" w:cs="Arial"/>
          <w:color w:val="0B0C0C"/>
          <w:sz w:val="28"/>
          <w:szCs w:val="28"/>
          <w:lang w:eastAsia="en-GB"/>
        </w:rPr>
        <w:t xml:space="preserve"> and leisure properties with a 75% relief, up to a cash cap limit of £110,000 per business.</w:t>
      </w:r>
    </w:p>
    <w:p w14:paraId="15F4FFC1" w14:textId="77777777" w:rsidR="00927F05" w:rsidRPr="00730C10" w:rsidRDefault="00927F05" w:rsidP="00927F05">
      <w:pPr>
        <w:shd w:val="clear" w:color="auto" w:fill="FFFFFF"/>
        <w:spacing w:before="300" w:after="300" w:line="240" w:lineRule="auto"/>
        <w:rPr>
          <w:rFonts w:ascii="Arial" w:eastAsia="Times New Roman" w:hAnsi="Arial" w:cs="Arial"/>
          <w:b/>
          <w:bCs/>
          <w:color w:val="0B0C0C"/>
          <w:sz w:val="36"/>
          <w:szCs w:val="36"/>
          <w:lang w:eastAsia="en-GB"/>
        </w:rPr>
      </w:pPr>
      <w:r w:rsidRPr="00730C10">
        <w:rPr>
          <w:rFonts w:ascii="Arial" w:eastAsia="Times New Roman" w:hAnsi="Arial" w:cs="Arial"/>
          <w:b/>
          <w:bCs/>
          <w:color w:val="0B0C0C"/>
          <w:sz w:val="36"/>
          <w:szCs w:val="36"/>
          <w:lang w:eastAsia="en-GB"/>
        </w:rPr>
        <w:t>Eligibility for the Retail, Hospitality and Leisure Relief Scheme</w:t>
      </w:r>
    </w:p>
    <w:p w14:paraId="730453F8" w14:textId="15E6C3F8" w:rsidR="00927F05" w:rsidRPr="00730C10"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927F05">
        <w:rPr>
          <w:rFonts w:ascii="Arial" w:eastAsia="Times New Roman" w:hAnsi="Arial" w:cs="Arial"/>
          <w:b/>
          <w:bCs/>
          <w:color w:val="0B0C0C"/>
          <w:sz w:val="28"/>
          <w:szCs w:val="28"/>
          <w:lang w:eastAsia="en-GB"/>
        </w:rPr>
        <w:t>1</w:t>
      </w:r>
      <w:r w:rsidRPr="00D07EC7">
        <w:rPr>
          <w:rFonts w:ascii="Arial" w:eastAsia="Times New Roman" w:hAnsi="Arial" w:cs="Arial"/>
          <w:color w:val="0B0C0C"/>
          <w:sz w:val="28"/>
          <w:szCs w:val="28"/>
          <w:lang w:eastAsia="en-GB"/>
        </w:rPr>
        <w:t xml:space="preserve">. </w:t>
      </w:r>
      <w:r w:rsidRPr="00730C10">
        <w:rPr>
          <w:rFonts w:ascii="Arial" w:eastAsia="Times New Roman" w:hAnsi="Arial" w:cs="Arial"/>
          <w:color w:val="0B0C0C"/>
          <w:sz w:val="28"/>
          <w:szCs w:val="28"/>
          <w:lang w:eastAsia="en-GB"/>
        </w:rPr>
        <w:t xml:space="preserve">Hereditaments that meet the eligibility for Retail, Hospitality and Leisure scheme will be occupied hereditaments which meet </w:t>
      </w:r>
      <w:r w:rsidR="00472730" w:rsidRPr="00730C10">
        <w:rPr>
          <w:rFonts w:ascii="Arial" w:eastAsia="Times New Roman" w:hAnsi="Arial" w:cs="Arial"/>
          <w:color w:val="0B0C0C"/>
          <w:sz w:val="28"/>
          <w:szCs w:val="28"/>
          <w:lang w:eastAsia="en-GB"/>
        </w:rPr>
        <w:t>all</w:t>
      </w:r>
      <w:r w:rsidRPr="00730C10">
        <w:rPr>
          <w:rFonts w:ascii="Arial" w:eastAsia="Times New Roman" w:hAnsi="Arial" w:cs="Arial"/>
          <w:color w:val="0B0C0C"/>
          <w:sz w:val="28"/>
          <w:szCs w:val="28"/>
          <w:lang w:eastAsia="en-GB"/>
        </w:rPr>
        <w:t xml:space="preserve"> the following conditions for the chargeable day:</w:t>
      </w:r>
    </w:p>
    <w:p w14:paraId="08164E87" w14:textId="77777777" w:rsidR="00927F05" w:rsidRPr="00730C10"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730C10">
        <w:rPr>
          <w:rFonts w:ascii="Arial" w:eastAsia="Times New Roman" w:hAnsi="Arial" w:cs="Arial"/>
          <w:color w:val="0B0C0C"/>
          <w:sz w:val="28"/>
          <w:szCs w:val="28"/>
          <w:lang w:eastAsia="en-GB"/>
        </w:rPr>
        <w:t>a. they are wholly or mainly being used:</w:t>
      </w:r>
    </w:p>
    <w:p w14:paraId="5ACF4737" w14:textId="460F83D5" w:rsidR="00927F05" w:rsidRPr="00730C10" w:rsidRDefault="00927F05" w:rsidP="00927F05">
      <w:pPr>
        <w:shd w:val="clear" w:color="auto" w:fill="FFFFFF"/>
        <w:spacing w:before="300" w:after="300" w:line="240" w:lineRule="auto"/>
        <w:rPr>
          <w:rFonts w:ascii="Arial" w:eastAsia="Times New Roman" w:hAnsi="Arial" w:cs="Arial"/>
          <w:color w:val="0B0C0C"/>
          <w:sz w:val="28"/>
          <w:szCs w:val="28"/>
          <w:lang w:eastAsia="en-GB"/>
        </w:rPr>
      </w:pPr>
      <w:proofErr w:type="spellStart"/>
      <w:r w:rsidRPr="00730C10">
        <w:rPr>
          <w:rFonts w:ascii="Arial" w:eastAsia="Times New Roman" w:hAnsi="Arial" w:cs="Arial"/>
          <w:color w:val="0B0C0C"/>
          <w:sz w:val="28"/>
          <w:szCs w:val="28"/>
          <w:lang w:eastAsia="en-GB"/>
        </w:rPr>
        <w:t>i</w:t>
      </w:r>
      <w:proofErr w:type="spellEnd"/>
      <w:r w:rsidRPr="00730C10">
        <w:rPr>
          <w:rFonts w:ascii="Arial" w:eastAsia="Times New Roman" w:hAnsi="Arial" w:cs="Arial"/>
          <w:color w:val="0B0C0C"/>
          <w:sz w:val="28"/>
          <w:szCs w:val="28"/>
          <w:lang w:eastAsia="en-GB"/>
        </w:rPr>
        <w:t xml:space="preserve">. as shops, restaurants, cafes, drinking establishments, </w:t>
      </w:r>
      <w:r w:rsidR="00472730" w:rsidRPr="00730C10">
        <w:rPr>
          <w:rFonts w:ascii="Arial" w:eastAsia="Times New Roman" w:hAnsi="Arial" w:cs="Arial"/>
          <w:color w:val="0B0C0C"/>
          <w:sz w:val="28"/>
          <w:szCs w:val="28"/>
          <w:lang w:eastAsia="en-GB"/>
        </w:rPr>
        <w:t>cinemas,</w:t>
      </w:r>
      <w:r w:rsidRPr="00730C10">
        <w:rPr>
          <w:rFonts w:ascii="Arial" w:eastAsia="Times New Roman" w:hAnsi="Arial" w:cs="Arial"/>
          <w:color w:val="0B0C0C"/>
          <w:sz w:val="28"/>
          <w:szCs w:val="28"/>
          <w:lang w:eastAsia="en-GB"/>
        </w:rPr>
        <w:t xml:space="preserve"> or live music venues,</w:t>
      </w:r>
    </w:p>
    <w:p w14:paraId="5CEBEF55" w14:textId="77777777" w:rsidR="00927F05" w:rsidRPr="00730C10"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730C10">
        <w:rPr>
          <w:rFonts w:ascii="Arial" w:eastAsia="Times New Roman" w:hAnsi="Arial" w:cs="Arial"/>
          <w:color w:val="0B0C0C"/>
          <w:sz w:val="28"/>
          <w:szCs w:val="28"/>
          <w:lang w:eastAsia="en-GB"/>
        </w:rPr>
        <w:t>ii. for assembly and leisure; or</w:t>
      </w:r>
    </w:p>
    <w:p w14:paraId="62496E5D" w14:textId="4EC1413E" w:rsidR="00927F05" w:rsidRPr="00730C10"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730C10">
        <w:rPr>
          <w:rFonts w:ascii="Arial" w:eastAsia="Times New Roman" w:hAnsi="Arial" w:cs="Arial"/>
          <w:color w:val="0B0C0C"/>
          <w:sz w:val="28"/>
          <w:szCs w:val="28"/>
          <w:lang w:eastAsia="en-GB"/>
        </w:rPr>
        <w:t xml:space="preserve">iii. as hotels, guest &amp; boarding </w:t>
      </w:r>
      <w:r w:rsidR="00472730" w:rsidRPr="00730C10">
        <w:rPr>
          <w:rFonts w:ascii="Arial" w:eastAsia="Times New Roman" w:hAnsi="Arial" w:cs="Arial"/>
          <w:color w:val="0B0C0C"/>
          <w:sz w:val="28"/>
          <w:szCs w:val="28"/>
          <w:lang w:eastAsia="en-GB"/>
        </w:rPr>
        <w:t>premises,</w:t>
      </w:r>
      <w:r w:rsidRPr="00730C10">
        <w:rPr>
          <w:rFonts w:ascii="Arial" w:eastAsia="Times New Roman" w:hAnsi="Arial" w:cs="Arial"/>
          <w:color w:val="0B0C0C"/>
          <w:sz w:val="28"/>
          <w:szCs w:val="28"/>
          <w:lang w:eastAsia="en-GB"/>
        </w:rPr>
        <w:t xml:space="preserve"> or self-catering accommodation</w:t>
      </w:r>
    </w:p>
    <w:p w14:paraId="361BC180" w14:textId="3FBC40E2" w:rsidR="00927F05" w:rsidRPr="00D07EC7"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730C10">
        <w:rPr>
          <w:rFonts w:ascii="Arial" w:eastAsia="Times New Roman" w:hAnsi="Arial" w:cs="Arial"/>
          <w:b/>
          <w:bCs/>
          <w:color w:val="0B0C0C"/>
          <w:sz w:val="28"/>
          <w:szCs w:val="28"/>
          <w:lang w:eastAsia="en-GB"/>
        </w:rPr>
        <w:t>2</w:t>
      </w:r>
      <w:r w:rsidRPr="00730C10">
        <w:rPr>
          <w:rFonts w:ascii="Arial" w:eastAsia="Times New Roman" w:hAnsi="Arial" w:cs="Arial"/>
          <w:color w:val="0B0C0C"/>
          <w:sz w:val="28"/>
          <w:szCs w:val="28"/>
          <w:lang w:eastAsia="en-GB"/>
        </w:rPr>
        <w:t xml:space="preserve">. We consider shops, restaurants, cafes, drinking establishments, </w:t>
      </w:r>
      <w:r w:rsidR="00472730" w:rsidRPr="00730C10">
        <w:rPr>
          <w:rFonts w:ascii="Arial" w:eastAsia="Times New Roman" w:hAnsi="Arial" w:cs="Arial"/>
          <w:color w:val="0B0C0C"/>
          <w:sz w:val="28"/>
          <w:szCs w:val="28"/>
          <w:lang w:eastAsia="en-GB"/>
        </w:rPr>
        <w:t>cinemas,</w:t>
      </w:r>
      <w:r w:rsidRPr="00730C10">
        <w:rPr>
          <w:rFonts w:ascii="Arial" w:eastAsia="Times New Roman" w:hAnsi="Arial" w:cs="Arial"/>
          <w:color w:val="0B0C0C"/>
          <w:sz w:val="28"/>
          <w:szCs w:val="28"/>
          <w:lang w:eastAsia="en-GB"/>
        </w:rPr>
        <w:t xml:space="preserve"> and live music venues to mean:</w:t>
      </w:r>
    </w:p>
    <w:p w14:paraId="61DB0B90"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9"/>
          <w:szCs w:val="29"/>
          <w:lang w:eastAsia="en-GB"/>
        </w:rPr>
      </w:pPr>
      <w:proofErr w:type="spellStart"/>
      <w:r w:rsidRPr="00D07EC7">
        <w:rPr>
          <w:rFonts w:ascii="Arial" w:eastAsia="Times New Roman" w:hAnsi="Arial" w:cs="Arial"/>
          <w:b/>
          <w:bCs/>
          <w:color w:val="0B0C0C"/>
          <w:sz w:val="29"/>
          <w:szCs w:val="29"/>
          <w:lang w:eastAsia="en-GB"/>
        </w:rPr>
        <w:t>i</w:t>
      </w:r>
      <w:proofErr w:type="spellEnd"/>
      <w:r w:rsidRPr="00D07EC7">
        <w:rPr>
          <w:rFonts w:ascii="Arial" w:eastAsia="Times New Roman" w:hAnsi="Arial" w:cs="Arial"/>
          <w:b/>
          <w:bCs/>
          <w:color w:val="0B0C0C"/>
          <w:sz w:val="29"/>
          <w:szCs w:val="29"/>
          <w:lang w:eastAsia="en-GB"/>
        </w:rPr>
        <w:t xml:space="preserve">. Hereditaments that are being used for the sale of goods to </w:t>
      </w:r>
      <w:proofErr w:type="gramStart"/>
      <w:r w:rsidRPr="00D07EC7">
        <w:rPr>
          <w:rFonts w:ascii="Arial" w:eastAsia="Times New Roman" w:hAnsi="Arial" w:cs="Arial"/>
          <w:b/>
          <w:bCs/>
          <w:color w:val="0B0C0C"/>
          <w:sz w:val="29"/>
          <w:szCs w:val="29"/>
          <w:lang w:eastAsia="en-GB"/>
        </w:rPr>
        <w:t>visiting</w:t>
      </w:r>
      <w:proofErr w:type="gramEnd"/>
      <w:r w:rsidRPr="00D07EC7">
        <w:rPr>
          <w:rFonts w:ascii="Arial" w:eastAsia="Times New Roman" w:hAnsi="Arial" w:cs="Arial"/>
          <w:b/>
          <w:bCs/>
          <w:color w:val="0B0C0C"/>
          <w:sz w:val="29"/>
          <w:szCs w:val="29"/>
          <w:lang w:eastAsia="en-GB"/>
        </w:rPr>
        <w:t xml:space="preserve"> members of the public:</w:t>
      </w:r>
    </w:p>
    <w:p w14:paraId="2B5778C4"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Shops (such as: florists, bakers, butchers, grocers, greengrocers, jewellers, stationers, off licences, chemists, newsagents, hardware stores, supermarkets, etc)</w:t>
      </w:r>
    </w:p>
    <w:p w14:paraId="55C0CECB"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Charity shops</w:t>
      </w:r>
    </w:p>
    <w:p w14:paraId="60CA288C"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lastRenderedPageBreak/>
        <w:t>Opticians</w:t>
      </w:r>
    </w:p>
    <w:p w14:paraId="468264CA"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Post offices</w:t>
      </w:r>
    </w:p>
    <w:p w14:paraId="136182BC"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Furnishing shops/ display rooms (such as: carpet shops, double glazing, garage doors)</w:t>
      </w:r>
    </w:p>
    <w:p w14:paraId="1EE1289C"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Car/caravan show rooms</w:t>
      </w:r>
    </w:p>
    <w:p w14:paraId="3EDFB8FF"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Second-hand car lots</w:t>
      </w:r>
    </w:p>
    <w:p w14:paraId="27C8DDB0"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Markets</w:t>
      </w:r>
    </w:p>
    <w:p w14:paraId="5FED749D"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Petrol stations</w:t>
      </w:r>
    </w:p>
    <w:p w14:paraId="339F9669"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Garden centres</w:t>
      </w:r>
    </w:p>
    <w:p w14:paraId="0C59F8CA" w14:textId="77777777" w:rsidR="00927F05" w:rsidRPr="00D07EC7" w:rsidRDefault="00927F05" w:rsidP="00927F05">
      <w:pPr>
        <w:numPr>
          <w:ilvl w:val="0"/>
          <w:numId w:val="1"/>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Art galleries (where art is for sale/hire)</w:t>
      </w:r>
    </w:p>
    <w:p w14:paraId="72AA0B29"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9"/>
          <w:szCs w:val="29"/>
          <w:lang w:eastAsia="en-GB"/>
        </w:rPr>
      </w:pPr>
      <w:r w:rsidRPr="00D07EC7">
        <w:rPr>
          <w:rFonts w:ascii="Arial" w:eastAsia="Times New Roman" w:hAnsi="Arial" w:cs="Arial"/>
          <w:b/>
          <w:bCs/>
          <w:color w:val="0B0C0C"/>
          <w:sz w:val="29"/>
          <w:szCs w:val="29"/>
          <w:lang w:eastAsia="en-GB"/>
        </w:rPr>
        <w:t xml:space="preserve">ii. Hereditaments that are being used for the provision of the following services to </w:t>
      </w:r>
      <w:proofErr w:type="gramStart"/>
      <w:r w:rsidRPr="00D07EC7">
        <w:rPr>
          <w:rFonts w:ascii="Arial" w:eastAsia="Times New Roman" w:hAnsi="Arial" w:cs="Arial"/>
          <w:b/>
          <w:bCs/>
          <w:color w:val="0B0C0C"/>
          <w:sz w:val="29"/>
          <w:szCs w:val="29"/>
          <w:lang w:eastAsia="en-GB"/>
        </w:rPr>
        <w:t>visiting</w:t>
      </w:r>
      <w:proofErr w:type="gramEnd"/>
      <w:r w:rsidRPr="00D07EC7">
        <w:rPr>
          <w:rFonts w:ascii="Arial" w:eastAsia="Times New Roman" w:hAnsi="Arial" w:cs="Arial"/>
          <w:b/>
          <w:bCs/>
          <w:color w:val="0B0C0C"/>
          <w:sz w:val="29"/>
          <w:szCs w:val="29"/>
          <w:lang w:eastAsia="en-GB"/>
        </w:rPr>
        <w:t xml:space="preserve"> members of the public:</w:t>
      </w:r>
    </w:p>
    <w:p w14:paraId="007B236D"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Hair and beauty services (such as: hairdressers, nail bars, beauty salons, tanning shops, etc)</w:t>
      </w:r>
    </w:p>
    <w:p w14:paraId="0F0AC612"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Shoe repairs/key cutting</w:t>
      </w:r>
    </w:p>
    <w:p w14:paraId="2B5D603B"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Travel agents</w:t>
      </w:r>
    </w:p>
    <w:p w14:paraId="3841858C" w14:textId="29FE5DF8"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 xml:space="preserve">Ticket offices </w:t>
      </w:r>
      <w:r w:rsidR="00472730" w:rsidRPr="00D07EC7">
        <w:rPr>
          <w:rFonts w:ascii="Arial" w:eastAsia="Times New Roman" w:hAnsi="Arial" w:cs="Arial"/>
          <w:color w:val="0B0C0C"/>
          <w:sz w:val="28"/>
          <w:szCs w:val="28"/>
          <w:lang w:eastAsia="en-GB"/>
        </w:rPr>
        <w:t>e.g.,</w:t>
      </w:r>
      <w:r w:rsidRPr="00D07EC7">
        <w:rPr>
          <w:rFonts w:ascii="Arial" w:eastAsia="Times New Roman" w:hAnsi="Arial" w:cs="Arial"/>
          <w:color w:val="0B0C0C"/>
          <w:sz w:val="28"/>
          <w:szCs w:val="28"/>
          <w:lang w:eastAsia="en-GB"/>
        </w:rPr>
        <w:t xml:space="preserve"> for theatre</w:t>
      </w:r>
    </w:p>
    <w:p w14:paraId="44AD2057"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Dry cleaners</w:t>
      </w:r>
    </w:p>
    <w:p w14:paraId="40BE8EE9"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Launderettes</w:t>
      </w:r>
    </w:p>
    <w:p w14:paraId="697D4A4C"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PC/TV/domestic appliance repair</w:t>
      </w:r>
    </w:p>
    <w:p w14:paraId="069834A8"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Funeral directors</w:t>
      </w:r>
    </w:p>
    <w:p w14:paraId="1828CBDA"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Photo processing</w:t>
      </w:r>
    </w:p>
    <w:p w14:paraId="70213439"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Tool hire</w:t>
      </w:r>
    </w:p>
    <w:p w14:paraId="44DD5A3B" w14:textId="77777777" w:rsidR="00927F05" w:rsidRPr="00D07EC7" w:rsidRDefault="00927F05" w:rsidP="00927F05">
      <w:pPr>
        <w:numPr>
          <w:ilvl w:val="0"/>
          <w:numId w:val="2"/>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Car hire</w:t>
      </w:r>
    </w:p>
    <w:p w14:paraId="7ADB5615"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9"/>
          <w:szCs w:val="29"/>
          <w:lang w:eastAsia="en-GB"/>
        </w:rPr>
      </w:pPr>
      <w:r w:rsidRPr="00D07EC7">
        <w:rPr>
          <w:rFonts w:ascii="Arial" w:eastAsia="Times New Roman" w:hAnsi="Arial" w:cs="Arial"/>
          <w:b/>
          <w:bCs/>
          <w:color w:val="0B0C0C"/>
          <w:sz w:val="29"/>
          <w:szCs w:val="29"/>
          <w:lang w:eastAsia="en-GB"/>
        </w:rPr>
        <w:t>iii. Hereditaments that are being used for the sale of food and/or drink to visiting members of the public:</w:t>
      </w:r>
    </w:p>
    <w:p w14:paraId="4B825CDD" w14:textId="77777777" w:rsidR="00927F05" w:rsidRPr="00D07EC7" w:rsidRDefault="00927F05" w:rsidP="00927F05">
      <w:pPr>
        <w:numPr>
          <w:ilvl w:val="0"/>
          <w:numId w:val="3"/>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Restaurants</w:t>
      </w:r>
    </w:p>
    <w:p w14:paraId="6331603A" w14:textId="77777777" w:rsidR="00927F05" w:rsidRPr="00D07EC7" w:rsidRDefault="00927F05" w:rsidP="00927F05">
      <w:pPr>
        <w:numPr>
          <w:ilvl w:val="0"/>
          <w:numId w:val="3"/>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Takeaways</w:t>
      </w:r>
    </w:p>
    <w:p w14:paraId="78457805" w14:textId="77777777" w:rsidR="00927F05" w:rsidRPr="00D07EC7" w:rsidRDefault="00927F05" w:rsidP="00927F05">
      <w:pPr>
        <w:numPr>
          <w:ilvl w:val="0"/>
          <w:numId w:val="3"/>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Sandwich shops</w:t>
      </w:r>
    </w:p>
    <w:p w14:paraId="1C1A47B0" w14:textId="77777777" w:rsidR="00927F05" w:rsidRPr="00D07EC7" w:rsidRDefault="00927F05" w:rsidP="00927F05">
      <w:pPr>
        <w:numPr>
          <w:ilvl w:val="0"/>
          <w:numId w:val="3"/>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Coffee shops</w:t>
      </w:r>
    </w:p>
    <w:p w14:paraId="373CE5C2" w14:textId="77777777" w:rsidR="00927F05" w:rsidRPr="00D07EC7" w:rsidRDefault="00927F05" w:rsidP="00927F05">
      <w:pPr>
        <w:numPr>
          <w:ilvl w:val="0"/>
          <w:numId w:val="3"/>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Pubs</w:t>
      </w:r>
    </w:p>
    <w:p w14:paraId="36470D82" w14:textId="77777777" w:rsidR="00927F05" w:rsidRPr="00D07EC7" w:rsidRDefault="00927F05" w:rsidP="00927F05">
      <w:pPr>
        <w:numPr>
          <w:ilvl w:val="0"/>
          <w:numId w:val="3"/>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Bars</w:t>
      </w:r>
    </w:p>
    <w:p w14:paraId="5EDDF962"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9"/>
          <w:szCs w:val="29"/>
          <w:lang w:eastAsia="en-GB"/>
        </w:rPr>
      </w:pPr>
      <w:r w:rsidRPr="00D07EC7">
        <w:rPr>
          <w:rFonts w:ascii="Arial" w:eastAsia="Times New Roman" w:hAnsi="Arial" w:cs="Arial"/>
          <w:b/>
          <w:bCs/>
          <w:color w:val="0B0C0C"/>
          <w:sz w:val="29"/>
          <w:szCs w:val="29"/>
          <w:lang w:eastAsia="en-GB"/>
        </w:rPr>
        <w:t>iv. Hereditaments which are being used as cinemas</w:t>
      </w:r>
    </w:p>
    <w:p w14:paraId="04B5178C"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9"/>
          <w:szCs w:val="29"/>
          <w:lang w:eastAsia="en-GB"/>
        </w:rPr>
      </w:pPr>
      <w:r w:rsidRPr="00D07EC7">
        <w:rPr>
          <w:rFonts w:ascii="Arial" w:eastAsia="Times New Roman" w:hAnsi="Arial" w:cs="Arial"/>
          <w:b/>
          <w:bCs/>
          <w:color w:val="0B0C0C"/>
          <w:sz w:val="29"/>
          <w:szCs w:val="29"/>
          <w:lang w:eastAsia="en-GB"/>
        </w:rPr>
        <w:lastRenderedPageBreak/>
        <w:t>v. Hereditaments that are being used as live music venues:</w:t>
      </w:r>
    </w:p>
    <w:p w14:paraId="3254FB66" w14:textId="77777777" w:rsidR="00927F05" w:rsidRPr="00D07EC7" w:rsidRDefault="00927F05" w:rsidP="00927F05">
      <w:pPr>
        <w:numPr>
          <w:ilvl w:val="0"/>
          <w:numId w:val="4"/>
        </w:numPr>
        <w:shd w:val="clear" w:color="auto" w:fill="FFFFFF"/>
        <w:spacing w:after="0"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Live music venues are hereditaments wholly or mainly used for the performance of live music for the purpose of entertaining an audience. Hereditaments cannot be considered a live music venue for the purpose of business rates relief where a venue is wholly or mainly used as a nightclub or a theatre, for the purposes of the Town and Country Planning (Use Classes) Order 1987 (as amended).</w:t>
      </w:r>
    </w:p>
    <w:p w14:paraId="013D51F9" w14:textId="77777777" w:rsidR="00927F05" w:rsidRPr="00D07EC7" w:rsidRDefault="00927F05" w:rsidP="00927F05">
      <w:pPr>
        <w:numPr>
          <w:ilvl w:val="0"/>
          <w:numId w:val="4"/>
        </w:numPr>
        <w:shd w:val="clear" w:color="auto" w:fill="FFFFFF"/>
        <w:spacing w:after="0"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Hereditaments can be a live music venue even if used for other activities, but only if those other activities (</w:t>
      </w:r>
      <w:proofErr w:type="spellStart"/>
      <w:r w:rsidRPr="00D07EC7">
        <w:rPr>
          <w:rFonts w:ascii="Arial" w:eastAsia="Times New Roman" w:hAnsi="Arial" w:cs="Arial"/>
          <w:color w:val="0B0C0C"/>
          <w:sz w:val="28"/>
          <w:szCs w:val="28"/>
          <w:lang w:eastAsia="en-GB"/>
        </w:rPr>
        <w:t>i</w:t>
      </w:r>
      <w:proofErr w:type="spellEnd"/>
      <w:r w:rsidRPr="00D07EC7">
        <w:rPr>
          <w:rFonts w:ascii="Arial" w:eastAsia="Times New Roman" w:hAnsi="Arial" w:cs="Arial"/>
          <w:color w:val="0B0C0C"/>
          <w:sz w:val="28"/>
          <w:szCs w:val="28"/>
          <w:lang w:eastAsia="en-GB"/>
        </w:rPr>
        <w:t>) are merely ancillary or incidental to the performance of live music (e.g. the sale/supply of alcohol to audience members) or (ii) do not affect the fact that the primary activity for the premises is the performance of live music (e.g. because those other activities are insufficiently regular or frequent, such as a polling station or a fortnightly community event).</w:t>
      </w:r>
    </w:p>
    <w:p w14:paraId="287E6FBC" w14:textId="77777777" w:rsidR="00927F05" w:rsidRPr="00D07EC7" w:rsidRDefault="00927F05" w:rsidP="00927F05">
      <w:pPr>
        <w:numPr>
          <w:ilvl w:val="0"/>
          <w:numId w:val="4"/>
        </w:numPr>
        <w:shd w:val="clear" w:color="auto" w:fill="FFFFFF"/>
        <w:spacing w:after="0"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There may be circumstances in which it is difficult to tell whether an activity is a performance of live music or, instead, the playing of recorded music. Although we would expect this would be clear in most circumstances, guidance on this may be found in </w:t>
      </w:r>
      <w:hyperlink r:id="rId5" w:history="1">
        <w:r w:rsidRPr="00D07EC7">
          <w:rPr>
            <w:rFonts w:ascii="Arial" w:eastAsia="Times New Roman" w:hAnsi="Arial" w:cs="Arial"/>
            <w:color w:val="1D70B8"/>
            <w:sz w:val="28"/>
            <w:szCs w:val="28"/>
            <w:u w:val="single"/>
            <w:lang w:eastAsia="en-GB"/>
          </w:rPr>
          <w:t>Chapter 16 of the statutory guidance</w:t>
        </w:r>
      </w:hyperlink>
      <w:r w:rsidRPr="00D07EC7">
        <w:rPr>
          <w:rFonts w:ascii="Arial" w:eastAsia="Times New Roman" w:hAnsi="Arial" w:cs="Arial"/>
          <w:color w:val="0B0C0C"/>
          <w:sz w:val="28"/>
          <w:szCs w:val="28"/>
          <w:lang w:eastAsia="en-GB"/>
        </w:rPr>
        <w:t> issued in April 2018 under section 182 of the Licensing Act 2003.</w:t>
      </w:r>
    </w:p>
    <w:p w14:paraId="15915492"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D07EC7">
        <w:rPr>
          <w:rFonts w:ascii="Arial" w:eastAsia="Times New Roman" w:hAnsi="Arial" w:cs="Arial"/>
          <w:b/>
          <w:bCs/>
          <w:color w:val="0B0C0C"/>
          <w:sz w:val="28"/>
          <w:szCs w:val="28"/>
          <w:lang w:eastAsia="en-GB"/>
        </w:rPr>
        <w:t>3</w:t>
      </w:r>
      <w:r w:rsidRPr="00D07EC7">
        <w:rPr>
          <w:rFonts w:ascii="Arial" w:eastAsia="Times New Roman" w:hAnsi="Arial" w:cs="Arial"/>
          <w:color w:val="0B0C0C"/>
          <w:sz w:val="28"/>
          <w:szCs w:val="28"/>
          <w:lang w:eastAsia="en-GB"/>
        </w:rPr>
        <w:t>. We consider assembly and leisure to mean:</w:t>
      </w:r>
    </w:p>
    <w:p w14:paraId="036618C8" w14:textId="1E1EA9DB" w:rsidR="00927F05" w:rsidRPr="00D07EC7" w:rsidRDefault="00927F05" w:rsidP="00927F05">
      <w:pPr>
        <w:shd w:val="clear" w:color="auto" w:fill="FFFFFF"/>
        <w:spacing w:before="300" w:after="300" w:line="240" w:lineRule="auto"/>
        <w:rPr>
          <w:rFonts w:ascii="Arial" w:eastAsia="Times New Roman" w:hAnsi="Arial" w:cs="Arial"/>
          <w:color w:val="0B0C0C"/>
          <w:sz w:val="28"/>
          <w:szCs w:val="28"/>
          <w:lang w:eastAsia="en-GB"/>
        </w:rPr>
      </w:pPr>
      <w:proofErr w:type="spellStart"/>
      <w:r w:rsidRPr="00D07EC7">
        <w:rPr>
          <w:rFonts w:ascii="Arial" w:eastAsia="Times New Roman" w:hAnsi="Arial" w:cs="Arial"/>
          <w:b/>
          <w:bCs/>
          <w:color w:val="0B0C0C"/>
          <w:sz w:val="29"/>
          <w:szCs w:val="29"/>
          <w:lang w:eastAsia="en-GB"/>
        </w:rPr>
        <w:t>i</w:t>
      </w:r>
      <w:proofErr w:type="spellEnd"/>
      <w:r w:rsidRPr="00D07EC7">
        <w:rPr>
          <w:rFonts w:ascii="Arial" w:eastAsia="Times New Roman" w:hAnsi="Arial" w:cs="Arial"/>
          <w:b/>
          <w:bCs/>
          <w:color w:val="0B0C0C"/>
          <w:sz w:val="29"/>
          <w:szCs w:val="29"/>
          <w:lang w:eastAsia="en-GB"/>
        </w:rPr>
        <w:t xml:space="preserve">. Hereditaments that are being used for the provision of sport, </w:t>
      </w:r>
      <w:r w:rsidR="00472730" w:rsidRPr="00D07EC7">
        <w:rPr>
          <w:rFonts w:ascii="Arial" w:eastAsia="Times New Roman" w:hAnsi="Arial" w:cs="Arial"/>
          <w:b/>
          <w:bCs/>
          <w:color w:val="0B0C0C"/>
          <w:sz w:val="29"/>
          <w:szCs w:val="29"/>
          <w:lang w:eastAsia="en-GB"/>
        </w:rPr>
        <w:t>leisure,</w:t>
      </w:r>
      <w:r w:rsidRPr="00D07EC7">
        <w:rPr>
          <w:rFonts w:ascii="Arial" w:eastAsia="Times New Roman" w:hAnsi="Arial" w:cs="Arial"/>
          <w:b/>
          <w:bCs/>
          <w:color w:val="0B0C0C"/>
          <w:sz w:val="29"/>
          <w:szCs w:val="29"/>
          <w:lang w:eastAsia="en-GB"/>
        </w:rPr>
        <w:t xml:space="preserve"> and facilities to visiting members of the public (including for </w:t>
      </w:r>
      <w:r w:rsidRPr="00D07EC7">
        <w:rPr>
          <w:rFonts w:ascii="Arial" w:eastAsia="Times New Roman" w:hAnsi="Arial" w:cs="Arial"/>
          <w:b/>
          <w:bCs/>
          <w:color w:val="0B0C0C"/>
          <w:sz w:val="28"/>
          <w:szCs w:val="28"/>
          <w:lang w:eastAsia="en-GB"/>
        </w:rPr>
        <w:t>the viewing of such activities).</w:t>
      </w:r>
    </w:p>
    <w:p w14:paraId="7ED1612B"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Sports grounds and clubs</w:t>
      </w:r>
    </w:p>
    <w:p w14:paraId="4189B322"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Museums and art galleries</w:t>
      </w:r>
    </w:p>
    <w:p w14:paraId="5AA9EF00"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Nightclubs</w:t>
      </w:r>
    </w:p>
    <w:p w14:paraId="4442B010"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Sport and leisure facilities</w:t>
      </w:r>
    </w:p>
    <w:p w14:paraId="4D692037"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Stately homes and historic houses</w:t>
      </w:r>
    </w:p>
    <w:p w14:paraId="5505C5FB"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Theatres</w:t>
      </w:r>
    </w:p>
    <w:p w14:paraId="59890C84"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Tourist attractions</w:t>
      </w:r>
    </w:p>
    <w:p w14:paraId="79B21817"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Gyms</w:t>
      </w:r>
    </w:p>
    <w:p w14:paraId="40531906"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Wellness centres, spas, massage parlours</w:t>
      </w:r>
    </w:p>
    <w:p w14:paraId="4EF3DFF5" w14:textId="77777777" w:rsidR="00927F05" w:rsidRPr="00D07EC7" w:rsidRDefault="00927F05" w:rsidP="00927F05">
      <w:pPr>
        <w:numPr>
          <w:ilvl w:val="0"/>
          <w:numId w:val="5"/>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Casinos, gambling clubs and bingo halls</w:t>
      </w:r>
    </w:p>
    <w:p w14:paraId="7CE39F9A"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9"/>
          <w:szCs w:val="29"/>
          <w:lang w:eastAsia="en-GB"/>
        </w:rPr>
      </w:pPr>
      <w:r w:rsidRPr="00D07EC7">
        <w:rPr>
          <w:rFonts w:ascii="Arial" w:eastAsia="Times New Roman" w:hAnsi="Arial" w:cs="Arial"/>
          <w:b/>
          <w:bCs/>
          <w:color w:val="0B0C0C"/>
          <w:sz w:val="29"/>
          <w:szCs w:val="29"/>
          <w:lang w:eastAsia="en-GB"/>
        </w:rPr>
        <w:lastRenderedPageBreak/>
        <w:t>ii. Hereditaments that are being used for the assembly of visiting members of the public.</w:t>
      </w:r>
    </w:p>
    <w:p w14:paraId="436EE2D6" w14:textId="77777777" w:rsidR="00927F05" w:rsidRPr="00D07EC7" w:rsidRDefault="00927F05" w:rsidP="00927F05">
      <w:pPr>
        <w:numPr>
          <w:ilvl w:val="0"/>
          <w:numId w:val="6"/>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Public halls</w:t>
      </w:r>
    </w:p>
    <w:p w14:paraId="10010A61" w14:textId="5E33698C" w:rsidR="00927F05" w:rsidRPr="00D07EC7" w:rsidRDefault="00927F05" w:rsidP="00927F05">
      <w:pPr>
        <w:numPr>
          <w:ilvl w:val="0"/>
          <w:numId w:val="6"/>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 xml:space="preserve">Clubhouses, </w:t>
      </w:r>
      <w:r w:rsidR="00472730" w:rsidRPr="00D07EC7">
        <w:rPr>
          <w:rFonts w:ascii="Arial" w:eastAsia="Times New Roman" w:hAnsi="Arial" w:cs="Arial"/>
          <w:color w:val="0B0C0C"/>
          <w:sz w:val="28"/>
          <w:szCs w:val="28"/>
          <w:lang w:eastAsia="en-GB"/>
        </w:rPr>
        <w:t>clubs,</w:t>
      </w:r>
      <w:r w:rsidRPr="00D07EC7">
        <w:rPr>
          <w:rFonts w:ascii="Arial" w:eastAsia="Times New Roman" w:hAnsi="Arial" w:cs="Arial"/>
          <w:color w:val="0B0C0C"/>
          <w:sz w:val="28"/>
          <w:szCs w:val="28"/>
          <w:lang w:eastAsia="en-GB"/>
        </w:rPr>
        <w:t xml:space="preserve"> and institutions</w:t>
      </w:r>
    </w:p>
    <w:p w14:paraId="12F7EE87" w14:textId="093C9D6B" w:rsidR="00927F05" w:rsidRPr="00D07EC7"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D07EC7">
        <w:rPr>
          <w:rFonts w:ascii="Arial" w:eastAsia="Times New Roman" w:hAnsi="Arial" w:cs="Arial"/>
          <w:b/>
          <w:bCs/>
          <w:color w:val="0B0C0C"/>
          <w:sz w:val="28"/>
          <w:szCs w:val="28"/>
          <w:lang w:eastAsia="en-GB"/>
        </w:rPr>
        <w:t>4</w:t>
      </w:r>
      <w:r w:rsidRPr="00D07EC7">
        <w:rPr>
          <w:rFonts w:ascii="Arial" w:eastAsia="Times New Roman" w:hAnsi="Arial" w:cs="Arial"/>
          <w:color w:val="0B0C0C"/>
          <w:sz w:val="28"/>
          <w:szCs w:val="28"/>
          <w:lang w:eastAsia="en-GB"/>
        </w:rPr>
        <w:t xml:space="preserve">. We consider hotels, guest &amp; boarding </w:t>
      </w:r>
      <w:r w:rsidR="00472730" w:rsidRPr="00D07EC7">
        <w:rPr>
          <w:rFonts w:ascii="Arial" w:eastAsia="Times New Roman" w:hAnsi="Arial" w:cs="Arial"/>
          <w:color w:val="0B0C0C"/>
          <w:sz w:val="28"/>
          <w:szCs w:val="28"/>
          <w:lang w:eastAsia="en-GB"/>
        </w:rPr>
        <w:t>premises,</w:t>
      </w:r>
      <w:r w:rsidRPr="00D07EC7">
        <w:rPr>
          <w:rFonts w:ascii="Arial" w:eastAsia="Times New Roman" w:hAnsi="Arial" w:cs="Arial"/>
          <w:color w:val="0B0C0C"/>
          <w:sz w:val="28"/>
          <w:szCs w:val="28"/>
          <w:lang w:eastAsia="en-GB"/>
        </w:rPr>
        <w:t xml:space="preserve"> and self-catering accommodation to mean:</w:t>
      </w:r>
    </w:p>
    <w:p w14:paraId="4C8668DD"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9"/>
          <w:szCs w:val="29"/>
          <w:lang w:eastAsia="en-GB"/>
        </w:rPr>
      </w:pPr>
      <w:proofErr w:type="spellStart"/>
      <w:r w:rsidRPr="00D07EC7">
        <w:rPr>
          <w:rFonts w:ascii="Arial" w:eastAsia="Times New Roman" w:hAnsi="Arial" w:cs="Arial"/>
          <w:b/>
          <w:bCs/>
          <w:color w:val="0B0C0C"/>
          <w:sz w:val="29"/>
          <w:szCs w:val="29"/>
          <w:lang w:eastAsia="en-GB"/>
        </w:rPr>
        <w:t>i</w:t>
      </w:r>
      <w:proofErr w:type="spellEnd"/>
      <w:r w:rsidRPr="00D07EC7">
        <w:rPr>
          <w:rFonts w:ascii="Arial" w:eastAsia="Times New Roman" w:hAnsi="Arial" w:cs="Arial"/>
          <w:b/>
          <w:bCs/>
          <w:color w:val="0B0C0C"/>
          <w:sz w:val="29"/>
          <w:szCs w:val="29"/>
          <w:lang w:eastAsia="en-GB"/>
        </w:rPr>
        <w:t>. Hereditaments where the non-domestic part is being used for the provision of living accommodation as a business:</w:t>
      </w:r>
    </w:p>
    <w:p w14:paraId="5B71CC7C" w14:textId="40C3DB38" w:rsidR="00927F05" w:rsidRPr="00D07EC7" w:rsidRDefault="00927F05" w:rsidP="00927F05">
      <w:pPr>
        <w:numPr>
          <w:ilvl w:val="0"/>
          <w:numId w:val="7"/>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 xml:space="preserve">Hotels, </w:t>
      </w:r>
      <w:r w:rsidR="00472730" w:rsidRPr="00D07EC7">
        <w:rPr>
          <w:rFonts w:ascii="Arial" w:eastAsia="Times New Roman" w:hAnsi="Arial" w:cs="Arial"/>
          <w:color w:val="0B0C0C"/>
          <w:sz w:val="28"/>
          <w:szCs w:val="28"/>
          <w:lang w:eastAsia="en-GB"/>
        </w:rPr>
        <w:t>Guest,</w:t>
      </w:r>
      <w:r w:rsidRPr="00D07EC7">
        <w:rPr>
          <w:rFonts w:ascii="Arial" w:eastAsia="Times New Roman" w:hAnsi="Arial" w:cs="Arial"/>
          <w:color w:val="0B0C0C"/>
          <w:sz w:val="28"/>
          <w:szCs w:val="28"/>
          <w:lang w:eastAsia="en-GB"/>
        </w:rPr>
        <w:t xml:space="preserve"> and Boarding Houses</w:t>
      </w:r>
    </w:p>
    <w:p w14:paraId="37BEA7F5" w14:textId="77777777" w:rsidR="00927F05" w:rsidRPr="00D07EC7" w:rsidRDefault="00927F05" w:rsidP="00927F05">
      <w:pPr>
        <w:numPr>
          <w:ilvl w:val="0"/>
          <w:numId w:val="7"/>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Holiday homes</w:t>
      </w:r>
    </w:p>
    <w:p w14:paraId="283E45F6" w14:textId="77777777" w:rsidR="00927F05" w:rsidRPr="00D07EC7" w:rsidRDefault="00927F05" w:rsidP="00927F05">
      <w:pPr>
        <w:numPr>
          <w:ilvl w:val="0"/>
          <w:numId w:val="7"/>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Caravan parks and sites</w:t>
      </w:r>
    </w:p>
    <w:p w14:paraId="780EADAE"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9"/>
          <w:szCs w:val="29"/>
          <w:lang w:eastAsia="en-GB"/>
        </w:rPr>
      </w:pPr>
      <w:r w:rsidRPr="00D07EC7">
        <w:rPr>
          <w:rFonts w:ascii="Arial" w:eastAsia="Times New Roman" w:hAnsi="Arial" w:cs="Arial"/>
          <w:b/>
          <w:bCs/>
          <w:color w:val="0B0C0C"/>
          <w:sz w:val="29"/>
          <w:szCs w:val="29"/>
          <w:lang w:eastAsia="en-GB"/>
        </w:rPr>
        <w:t>5.</w:t>
      </w:r>
      <w:r w:rsidRPr="00D07EC7">
        <w:rPr>
          <w:rFonts w:ascii="Arial" w:eastAsia="Times New Roman" w:hAnsi="Arial" w:cs="Arial"/>
          <w:color w:val="0B0C0C"/>
          <w:sz w:val="29"/>
          <w:szCs w:val="29"/>
          <w:lang w:eastAsia="en-GB"/>
        </w:rPr>
        <w:t xml:space="preserve"> To qualify for the relief the hereditament should be wholly or mainly being used for the above qualifying purposes. In a similar way to other reliefs (such as charity relief), this is a test on use rather than occupation. Therefore, hereditaments which are occupied but not wholly or mainly used for the qualifying purpose will not qualify for the relief.</w:t>
      </w:r>
    </w:p>
    <w:p w14:paraId="6629D8B5"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9"/>
          <w:szCs w:val="29"/>
          <w:lang w:eastAsia="en-GB"/>
        </w:rPr>
      </w:pPr>
      <w:r w:rsidRPr="00D07EC7">
        <w:rPr>
          <w:rFonts w:ascii="Arial" w:eastAsia="Times New Roman" w:hAnsi="Arial" w:cs="Arial"/>
          <w:b/>
          <w:bCs/>
          <w:color w:val="0B0C0C"/>
          <w:sz w:val="29"/>
          <w:szCs w:val="29"/>
          <w:lang w:eastAsia="en-GB"/>
        </w:rPr>
        <w:t>6</w:t>
      </w:r>
      <w:r w:rsidRPr="00D07EC7">
        <w:rPr>
          <w:rFonts w:ascii="Arial" w:eastAsia="Times New Roman" w:hAnsi="Arial" w:cs="Arial"/>
          <w:color w:val="0B0C0C"/>
          <w:sz w:val="29"/>
          <w:szCs w:val="29"/>
          <w:lang w:eastAsia="en-GB"/>
        </w:rPr>
        <w:t xml:space="preserve">. The list set out above is not intended to be exhaustive as it would be impossible to list the many and varied uses that exist within the qualifying purposes. However, it is intended to be a guide for authorities as to the types of uses that the government considers for this purpose to be eligible for relief. </w:t>
      </w:r>
    </w:p>
    <w:p w14:paraId="6E6B7231"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D07EC7">
        <w:rPr>
          <w:rFonts w:ascii="Arial" w:eastAsia="Times New Roman" w:hAnsi="Arial" w:cs="Arial"/>
          <w:b/>
          <w:bCs/>
          <w:color w:val="0B0C0C"/>
          <w:sz w:val="29"/>
          <w:szCs w:val="29"/>
          <w:lang w:eastAsia="en-GB"/>
        </w:rPr>
        <w:t>7</w:t>
      </w:r>
      <w:r w:rsidRPr="00D07EC7">
        <w:rPr>
          <w:rFonts w:ascii="Arial" w:eastAsia="Times New Roman" w:hAnsi="Arial" w:cs="Arial"/>
          <w:color w:val="0B0C0C"/>
          <w:sz w:val="29"/>
          <w:szCs w:val="29"/>
          <w:lang w:eastAsia="en-GB"/>
        </w:rPr>
        <w:t xml:space="preserve">. The list below sets out the types of uses that the government </w:t>
      </w:r>
      <w:r w:rsidRPr="00D07EC7">
        <w:rPr>
          <w:rFonts w:ascii="Arial" w:eastAsia="Times New Roman" w:hAnsi="Arial" w:cs="Arial"/>
          <w:b/>
          <w:bCs/>
          <w:color w:val="0B0C0C"/>
          <w:sz w:val="29"/>
          <w:szCs w:val="29"/>
          <w:lang w:eastAsia="en-GB"/>
        </w:rPr>
        <w:t>does not consider to be an eligible</w:t>
      </w:r>
      <w:r w:rsidRPr="00D07EC7">
        <w:rPr>
          <w:rFonts w:ascii="Arial" w:eastAsia="Times New Roman" w:hAnsi="Arial" w:cs="Arial"/>
          <w:color w:val="0B0C0C"/>
          <w:sz w:val="29"/>
          <w:szCs w:val="29"/>
          <w:lang w:eastAsia="en-GB"/>
        </w:rPr>
        <w:t xml:space="preserve"> use for the purpose of this discount. </w:t>
      </w:r>
      <w:proofErr w:type="spellStart"/>
      <w:r w:rsidRPr="00D07EC7">
        <w:rPr>
          <w:rFonts w:ascii="Arial" w:eastAsia="Times New Roman" w:hAnsi="Arial" w:cs="Arial"/>
          <w:color w:val="0B0C0C"/>
          <w:sz w:val="29"/>
          <w:szCs w:val="29"/>
          <w:lang w:eastAsia="en-GB"/>
        </w:rPr>
        <w:t>f</w:t>
      </w:r>
      <w:proofErr w:type="spellEnd"/>
      <w:r w:rsidRPr="00D07EC7">
        <w:rPr>
          <w:rFonts w:ascii="Arial" w:eastAsia="Times New Roman" w:hAnsi="Arial" w:cs="Arial"/>
          <w:color w:val="0B0C0C"/>
          <w:sz w:val="29"/>
          <w:szCs w:val="29"/>
          <w:lang w:eastAsia="en-GB"/>
        </w:rPr>
        <w:t xml:space="preserve"> so, to consider them not eligible for the discount under their local scheme.</w:t>
      </w:r>
    </w:p>
    <w:p w14:paraId="2B08A4DC"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8"/>
          <w:szCs w:val="28"/>
          <w:lang w:eastAsia="en-GB"/>
        </w:rPr>
      </w:pPr>
      <w:proofErr w:type="spellStart"/>
      <w:r w:rsidRPr="00D07EC7">
        <w:rPr>
          <w:rFonts w:ascii="Arial" w:eastAsia="Times New Roman" w:hAnsi="Arial" w:cs="Arial"/>
          <w:color w:val="0B0C0C"/>
          <w:sz w:val="28"/>
          <w:szCs w:val="28"/>
          <w:lang w:eastAsia="en-GB"/>
        </w:rPr>
        <w:t>i</w:t>
      </w:r>
      <w:proofErr w:type="spellEnd"/>
      <w:r w:rsidRPr="00D07EC7">
        <w:rPr>
          <w:rFonts w:ascii="Arial" w:eastAsia="Times New Roman" w:hAnsi="Arial" w:cs="Arial"/>
          <w:color w:val="0B0C0C"/>
          <w:sz w:val="28"/>
          <w:szCs w:val="28"/>
          <w:lang w:eastAsia="en-GB"/>
        </w:rPr>
        <w:t xml:space="preserve">. Hereditaments that are being used for the provision of the following services to </w:t>
      </w:r>
      <w:proofErr w:type="gramStart"/>
      <w:r w:rsidRPr="00D07EC7">
        <w:rPr>
          <w:rFonts w:ascii="Arial" w:eastAsia="Times New Roman" w:hAnsi="Arial" w:cs="Arial"/>
          <w:color w:val="0B0C0C"/>
          <w:sz w:val="28"/>
          <w:szCs w:val="28"/>
          <w:lang w:eastAsia="en-GB"/>
        </w:rPr>
        <w:t>visiting</w:t>
      </w:r>
      <w:proofErr w:type="gramEnd"/>
      <w:r w:rsidRPr="00D07EC7">
        <w:rPr>
          <w:rFonts w:ascii="Arial" w:eastAsia="Times New Roman" w:hAnsi="Arial" w:cs="Arial"/>
          <w:color w:val="0B0C0C"/>
          <w:sz w:val="28"/>
          <w:szCs w:val="28"/>
          <w:lang w:eastAsia="en-GB"/>
        </w:rPr>
        <w:t xml:space="preserve"> members of the public</w:t>
      </w:r>
    </w:p>
    <w:p w14:paraId="05A9447F" w14:textId="3EBBF484" w:rsidR="00927F05" w:rsidRPr="00D07EC7" w:rsidRDefault="00927F05" w:rsidP="00927F05">
      <w:pPr>
        <w:numPr>
          <w:ilvl w:val="0"/>
          <w:numId w:val="8"/>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Financial services (</w:t>
      </w:r>
      <w:r w:rsidR="00472730" w:rsidRPr="00D07EC7">
        <w:rPr>
          <w:rFonts w:ascii="Arial" w:eastAsia="Times New Roman" w:hAnsi="Arial" w:cs="Arial"/>
          <w:color w:val="0B0C0C"/>
          <w:sz w:val="28"/>
          <w:szCs w:val="28"/>
          <w:lang w:eastAsia="en-GB"/>
        </w:rPr>
        <w:t>e.g.,</w:t>
      </w:r>
      <w:r w:rsidRPr="00D07EC7">
        <w:rPr>
          <w:rFonts w:ascii="Arial" w:eastAsia="Times New Roman" w:hAnsi="Arial" w:cs="Arial"/>
          <w:color w:val="0B0C0C"/>
          <w:sz w:val="28"/>
          <w:szCs w:val="28"/>
          <w:lang w:eastAsia="en-GB"/>
        </w:rPr>
        <w:t xml:space="preserve"> banks, building societies, cash points, bureaux de change, short-term loan providers, betting shops)</w:t>
      </w:r>
    </w:p>
    <w:p w14:paraId="49B574EF" w14:textId="19D858E2" w:rsidR="00927F05" w:rsidRPr="00D07EC7" w:rsidRDefault="00927F05" w:rsidP="00927F05">
      <w:pPr>
        <w:numPr>
          <w:ilvl w:val="0"/>
          <w:numId w:val="8"/>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Medical services (</w:t>
      </w:r>
      <w:r w:rsidR="00472730" w:rsidRPr="00D07EC7">
        <w:rPr>
          <w:rFonts w:ascii="Arial" w:eastAsia="Times New Roman" w:hAnsi="Arial" w:cs="Arial"/>
          <w:color w:val="0B0C0C"/>
          <w:sz w:val="28"/>
          <w:szCs w:val="28"/>
          <w:lang w:eastAsia="en-GB"/>
        </w:rPr>
        <w:t>e.g.,</w:t>
      </w:r>
      <w:r w:rsidRPr="00D07EC7">
        <w:rPr>
          <w:rFonts w:ascii="Arial" w:eastAsia="Times New Roman" w:hAnsi="Arial" w:cs="Arial"/>
          <w:color w:val="0B0C0C"/>
          <w:sz w:val="28"/>
          <w:szCs w:val="28"/>
          <w:lang w:eastAsia="en-GB"/>
        </w:rPr>
        <w:t xml:space="preserve"> vets, dentists, doctors, osteopaths, chiropractors)</w:t>
      </w:r>
    </w:p>
    <w:p w14:paraId="5153C286" w14:textId="123FEC2A" w:rsidR="00927F05" w:rsidRPr="00D07EC7" w:rsidRDefault="00927F05" w:rsidP="00927F05">
      <w:pPr>
        <w:numPr>
          <w:ilvl w:val="0"/>
          <w:numId w:val="8"/>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lastRenderedPageBreak/>
        <w:t>Professional services (</w:t>
      </w:r>
      <w:r w:rsidR="00472730" w:rsidRPr="00D07EC7">
        <w:rPr>
          <w:rFonts w:ascii="Arial" w:eastAsia="Times New Roman" w:hAnsi="Arial" w:cs="Arial"/>
          <w:color w:val="0B0C0C"/>
          <w:sz w:val="28"/>
          <w:szCs w:val="28"/>
          <w:lang w:eastAsia="en-GB"/>
        </w:rPr>
        <w:t>e.g.,</w:t>
      </w:r>
      <w:r w:rsidRPr="00D07EC7">
        <w:rPr>
          <w:rFonts w:ascii="Arial" w:eastAsia="Times New Roman" w:hAnsi="Arial" w:cs="Arial"/>
          <w:color w:val="0B0C0C"/>
          <w:sz w:val="28"/>
          <w:szCs w:val="28"/>
          <w:lang w:eastAsia="en-GB"/>
        </w:rPr>
        <w:t xml:space="preserve"> solicitors, accountants, insurance agents/ financial advisers, employment agencies, estate agents, letting agents)</w:t>
      </w:r>
    </w:p>
    <w:p w14:paraId="155A7662" w14:textId="77777777" w:rsidR="00927F05" w:rsidRPr="00D07EC7" w:rsidRDefault="00927F05" w:rsidP="00927F05">
      <w:pPr>
        <w:numPr>
          <w:ilvl w:val="0"/>
          <w:numId w:val="8"/>
        </w:numPr>
        <w:shd w:val="clear" w:color="auto" w:fill="FFFFFF"/>
        <w:spacing w:after="75" w:line="240" w:lineRule="auto"/>
        <w:ind w:left="1020"/>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Post office sorting offices</w:t>
      </w:r>
    </w:p>
    <w:p w14:paraId="4A7C5010" w14:textId="77777777" w:rsidR="00927F05" w:rsidRPr="00D07EC7" w:rsidRDefault="00927F05" w:rsidP="00927F05">
      <w:pPr>
        <w:shd w:val="clear" w:color="auto" w:fill="FFFFFF"/>
        <w:spacing w:before="300" w:after="300" w:line="240" w:lineRule="auto"/>
        <w:rPr>
          <w:rFonts w:ascii="Arial" w:eastAsia="Times New Roman" w:hAnsi="Arial" w:cs="Arial"/>
          <w:color w:val="0B0C0C"/>
          <w:sz w:val="28"/>
          <w:szCs w:val="28"/>
          <w:lang w:eastAsia="en-GB"/>
        </w:rPr>
      </w:pPr>
      <w:r w:rsidRPr="00D07EC7">
        <w:rPr>
          <w:rFonts w:ascii="Arial" w:eastAsia="Times New Roman" w:hAnsi="Arial" w:cs="Arial"/>
          <w:color w:val="0B0C0C"/>
          <w:sz w:val="28"/>
          <w:szCs w:val="28"/>
          <w:lang w:eastAsia="en-GB"/>
        </w:rPr>
        <w:t>ii. Hereditaments that are not reasonably accessible to visiting members of the public</w:t>
      </w:r>
    </w:p>
    <w:p w14:paraId="47373AC6" w14:textId="09F213D4" w:rsidR="00927F05" w:rsidRDefault="00927F05" w:rsidP="00927F05">
      <w:pPr>
        <w:pStyle w:val="Default"/>
        <w:rPr>
          <w:color w:val="0B0C0C"/>
          <w:sz w:val="29"/>
          <w:szCs w:val="29"/>
          <w:shd w:val="clear" w:color="auto" w:fill="FFFFFF"/>
        </w:rPr>
      </w:pPr>
    </w:p>
    <w:p w14:paraId="54915FD0" w14:textId="4353E1AA" w:rsidR="00927F05" w:rsidRDefault="005F1428" w:rsidP="00927F05">
      <w:pPr>
        <w:pStyle w:val="Default"/>
        <w:rPr>
          <w:color w:val="0B0C0C"/>
          <w:sz w:val="29"/>
          <w:szCs w:val="29"/>
          <w:shd w:val="clear" w:color="auto" w:fill="FFFFFF"/>
        </w:rPr>
      </w:pPr>
      <w:r w:rsidRPr="005F1428">
        <w:rPr>
          <w:b/>
          <w:bCs/>
          <w:color w:val="0B0C0C"/>
          <w:sz w:val="29"/>
          <w:szCs w:val="29"/>
          <w:shd w:val="clear" w:color="auto" w:fill="FFFFFF"/>
        </w:rPr>
        <w:t>8</w:t>
      </w:r>
      <w:r>
        <w:rPr>
          <w:color w:val="0B0C0C"/>
          <w:sz w:val="29"/>
          <w:szCs w:val="29"/>
          <w:shd w:val="clear" w:color="auto" w:fill="FFFFFF"/>
        </w:rPr>
        <w:t xml:space="preserve">. </w:t>
      </w:r>
      <w:r w:rsidR="00927F05" w:rsidRPr="00F22EC6">
        <w:rPr>
          <w:color w:val="0B0C0C"/>
          <w:sz w:val="29"/>
          <w:szCs w:val="29"/>
          <w:shd w:val="clear" w:color="auto" w:fill="FFFFFF"/>
        </w:rPr>
        <w:t xml:space="preserve">To claim the Retail, Hospitality and Leisure relief you must not have exceeded either the £110,000 cash cap for 2023/24 or the Minimal Financial Assistance limit of £315,000 over 3 years (including 2023/24). </w:t>
      </w:r>
    </w:p>
    <w:p w14:paraId="1C0215E5" w14:textId="77777777" w:rsidR="00927F05" w:rsidRDefault="00927F05" w:rsidP="00927F05">
      <w:pPr>
        <w:pStyle w:val="Default"/>
        <w:rPr>
          <w:color w:val="0B0C0C"/>
          <w:sz w:val="29"/>
          <w:szCs w:val="29"/>
          <w:shd w:val="clear" w:color="auto" w:fill="FFFFFF"/>
        </w:rPr>
      </w:pPr>
    </w:p>
    <w:p w14:paraId="1E5274AD" w14:textId="681580FB" w:rsidR="00927F05" w:rsidRPr="00F22EC6" w:rsidRDefault="00927F05" w:rsidP="00927F05">
      <w:pPr>
        <w:pStyle w:val="Default"/>
        <w:rPr>
          <w:b/>
          <w:sz w:val="22"/>
          <w:szCs w:val="22"/>
        </w:rPr>
      </w:pPr>
      <w:r w:rsidRPr="00F22EC6">
        <w:rPr>
          <w:color w:val="0B0C0C"/>
          <w:sz w:val="29"/>
          <w:szCs w:val="29"/>
          <w:shd w:val="clear" w:color="auto" w:fill="FFFFFF"/>
        </w:rPr>
        <w:t>Further details of the cash cap and subsidy control can be found at: </w:t>
      </w:r>
      <w:hyperlink r:id="rId6" w:history="1">
        <w:r w:rsidRPr="00F22EC6">
          <w:rPr>
            <w:rStyle w:val="Hyperlink"/>
            <w:color w:val="1D70B8"/>
            <w:sz w:val="29"/>
            <w:szCs w:val="29"/>
            <w:shd w:val="clear" w:color="auto" w:fill="FFFFFF"/>
          </w:rPr>
          <w:t>https://www.gov.uk/government/publications/business-rates-relief-202324-retail-hospitality-and-leisure-scheme-local-authority-guidance</w:t>
        </w:r>
      </w:hyperlink>
    </w:p>
    <w:p w14:paraId="5C52E48B" w14:textId="4BDBE54D" w:rsidR="00927F05" w:rsidRPr="005A2427" w:rsidRDefault="00927F05" w:rsidP="00927F05">
      <w:pPr>
        <w:shd w:val="clear" w:color="auto" w:fill="FFFFFF"/>
        <w:spacing w:before="300" w:after="300" w:line="240" w:lineRule="auto"/>
        <w:rPr>
          <w:rFonts w:ascii="Arial" w:eastAsia="Times New Roman" w:hAnsi="Arial" w:cs="Arial"/>
          <w:color w:val="0B0C0C"/>
          <w:sz w:val="29"/>
          <w:szCs w:val="29"/>
          <w:lang w:eastAsia="en-GB"/>
        </w:rPr>
      </w:pPr>
      <w:r w:rsidRPr="005A2427">
        <w:rPr>
          <w:rFonts w:ascii="Arial" w:eastAsia="Times New Roman" w:hAnsi="Arial" w:cs="Arial"/>
          <w:color w:val="0B0C0C"/>
          <w:sz w:val="29"/>
          <w:szCs w:val="29"/>
          <w:lang w:eastAsia="en-GB"/>
        </w:rPr>
        <w:t>If the following applies to you, please complete the</w:t>
      </w:r>
      <w:r>
        <w:rPr>
          <w:rFonts w:ascii="Arial" w:eastAsia="Times New Roman" w:hAnsi="Arial" w:cs="Arial"/>
          <w:color w:val="0B0C0C"/>
          <w:sz w:val="29"/>
          <w:szCs w:val="29"/>
          <w:lang w:eastAsia="en-GB"/>
        </w:rPr>
        <w:t xml:space="preserve"> application</w:t>
      </w:r>
      <w:r w:rsidRPr="005A2427">
        <w:rPr>
          <w:rFonts w:ascii="Arial" w:eastAsia="Times New Roman" w:hAnsi="Arial" w:cs="Arial"/>
          <w:color w:val="0B0C0C"/>
          <w:sz w:val="29"/>
          <w:szCs w:val="29"/>
          <w:lang w:eastAsia="en-GB"/>
        </w:rPr>
        <w:t xml:space="preserve"> accepting the relief and declaring that you comply with the cash cap and exemption threshold </w:t>
      </w:r>
    </w:p>
    <w:p w14:paraId="73167E36" w14:textId="77777777" w:rsidR="00927F05" w:rsidRPr="005A2427" w:rsidRDefault="00927F05" w:rsidP="00927F05">
      <w:pPr>
        <w:numPr>
          <w:ilvl w:val="0"/>
          <w:numId w:val="10"/>
        </w:numPr>
        <w:shd w:val="clear" w:color="auto" w:fill="FFFFFF"/>
        <w:spacing w:after="75" w:line="240" w:lineRule="auto"/>
        <w:ind w:left="1020"/>
        <w:rPr>
          <w:rFonts w:ascii="Arial" w:eastAsia="Times New Roman" w:hAnsi="Arial" w:cs="Arial"/>
          <w:color w:val="0B0C0C"/>
          <w:sz w:val="29"/>
          <w:szCs w:val="29"/>
          <w:lang w:eastAsia="en-GB"/>
        </w:rPr>
      </w:pPr>
      <w:r w:rsidRPr="005A2427">
        <w:rPr>
          <w:rFonts w:ascii="Arial" w:eastAsia="Times New Roman" w:hAnsi="Arial" w:cs="Arial"/>
          <w:color w:val="0B0C0C"/>
          <w:sz w:val="29"/>
          <w:szCs w:val="29"/>
          <w:lang w:eastAsia="en-GB"/>
        </w:rPr>
        <w:t>you (or if appropriate a company in your Group) have received the 2023/24 Retail, Hospitality and Leisure Relief Scheme support on any other property but to a level below the £110,000 cash cap. You should list the other Retail, Hospitality and Leisure Relief being granted for premises other than the one to which this bill relates, and</w:t>
      </w:r>
    </w:p>
    <w:p w14:paraId="40F4D607" w14:textId="1A247FD3" w:rsidR="00927F05" w:rsidRDefault="00927F05" w:rsidP="00927F05">
      <w:pPr>
        <w:numPr>
          <w:ilvl w:val="0"/>
          <w:numId w:val="10"/>
        </w:numPr>
        <w:shd w:val="clear" w:color="auto" w:fill="FFFFFF"/>
        <w:spacing w:after="75" w:line="240" w:lineRule="auto"/>
        <w:ind w:left="1020"/>
        <w:rPr>
          <w:rFonts w:ascii="Arial" w:eastAsia="Times New Roman" w:hAnsi="Arial" w:cs="Arial"/>
          <w:color w:val="0B0C0C"/>
          <w:sz w:val="29"/>
          <w:szCs w:val="29"/>
          <w:lang w:eastAsia="en-GB"/>
        </w:rPr>
      </w:pPr>
      <w:r w:rsidRPr="005A2427">
        <w:rPr>
          <w:rFonts w:ascii="Arial" w:eastAsia="Times New Roman" w:hAnsi="Arial" w:cs="Arial"/>
          <w:color w:val="0B0C0C"/>
          <w:sz w:val="29"/>
          <w:szCs w:val="29"/>
          <w:lang w:eastAsia="en-GB"/>
        </w:rPr>
        <w:t xml:space="preserve">you (or if appropriate a company in your Group) have not received more than the Minimal Financial Assistance limit of £315,000 over 3 years (including 2023/24). If appropriate you should list the other </w:t>
      </w:r>
      <w:r w:rsidR="00472730" w:rsidRPr="005A2427">
        <w:rPr>
          <w:rFonts w:ascii="Arial" w:eastAsia="Times New Roman" w:hAnsi="Arial" w:cs="Arial"/>
          <w:color w:val="0B0C0C"/>
          <w:sz w:val="29"/>
          <w:szCs w:val="29"/>
          <w:lang w:eastAsia="en-GB"/>
        </w:rPr>
        <w:t>subsidies,</w:t>
      </w:r>
      <w:r w:rsidRPr="005A2427">
        <w:rPr>
          <w:rFonts w:ascii="Arial" w:eastAsia="Times New Roman" w:hAnsi="Arial" w:cs="Arial"/>
          <w:color w:val="0B0C0C"/>
          <w:sz w:val="29"/>
          <w:szCs w:val="29"/>
          <w:lang w:eastAsia="en-GB"/>
        </w:rPr>
        <w:t xml:space="preserve"> you have received</w:t>
      </w:r>
    </w:p>
    <w:p w14:paraId="365E17ED" w14:textId="77777777" w:rsidR="00F82160" w:rsidRDefault="00F82160"/>
    <w:sectPr w:rsidR="00F82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6071"/>
    <w:multiLevelType w:val="multilevel"/>
    <w:tmpl w:val="28B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53151"/>
    <w:multiLevelType w:val="multilevel"/>
    <w:tmpl w:val="61C8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F1C23"/>
    <w:multiLevelType w:val="multilevel"/>
    <w:tmpl w:val="361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E4311F"/>
    <w:multiLevelType w:val="multilevel"/>
    <w:tmpl w:val="846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BD24D8"/>
    <w:multiLevelType w:val="multilevel"/>
    <w:tmpl w:val="512E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CF367F"/>
    <w:multiLevelType w:val="multilevel"/>
    <w:tmpl w:val="D992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C17AF2"/>
    <w:multiLevelType w:val="multilevel"/>
    <w:tmpl w:val="DF06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42189E"/>
    <w:multiLevelType w:val="multilevel"/>
    <w:tmpl w:val="3E1C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B200B2"/>
    <w:multiLevelType w:val="multilevel"/>
    <w:tmpl w:val="B55C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01650"/>
    <w:multiLevelType w:val="multilevel"/>
    <w:tmpl w:val="838C3156"/>
    <w:lvl w:ilvl="0">
      <w:start w:val="1"/>
      <w:numFmt w:val="decimal"/>
      <w:lvlText w:val="%1."/>
      <w:lvlJc w:val="left"/>
      <w:pPr>
        <w:ind w:left="360" w:hanging="360"/>
      </w:pPr>
      <w:rPr>
        <w:rFonts w:cs="Times New Roman"/>
      </w:rPr>
    </w:lvl>
    <w:lvl w:ilvl="1">
      <w:start w:val="1"/>
      <w:numFmt w:val="lowerLetter"/>
      <w:lvlText w:val="%2."/>
      <w:lvlJc w:val="left"/>
      <w:pPr>
        <w:ind w:left="371" w:hanging="360"/>
      </w:pPr>
      <w:rPr>
        <w:rFonts w:cs="Times New Roman"/>
      </w:rPr>
    </w:lvl>
    <w:lvl w:ilvl="2">
      <w:start w:val="1"/>
      <w:numFmt w:val="lowerRoman"/>
      <w:lvlText w:val="%3."/>
      <w:lvlJc w:val="right"/>
      <w:pPr>
        <w:ind w:left="1091" w:hanging="180"/>
      </w:pPr>
      <w:rPr>
        <w:rFonts w:cs="Times New Roman"/>
      </w:rPr>
    </w:lvl>
    <w:lvl w:ilvl="3">
      <w:start w:val="1"/>
      <w:numFmt w:val="decimal"/>
      <w:lvlText w:val="%4."/>
      <w:lvlJc w:val="left"/>
      <w:pPr>
        <w:ind w:left="1811" w:hanging="360"/>
      </w:pPr>
      <w:rPr>
        <w:rFonts w:cs="Times New Roman"/>
      </w:rPr>
    </w:lvl>
    <w:lvl w:ilvl="4">
      <w:start w:val="1"/>
      <w:numFmt w:val="lowerLetter"/>
      <w:lvlText w:val="%5."/>
      <w:lvlJc w:val="left"/>
      <w:pPr>
        <w:ind w:left="2531" w:hanging="360"/>
      </w:pPr>
      <w:rPr>
        <w:rFonts w:cs="Times New Roman"/>
      </w:rPr>
    </w:lvl>
    <w:lvl w:ilvl="5">
      <w:start w:val="1"/>
      <w:numFmt w:val="lowerRoman"/>
      <w:lvlText w:val="%6."/>
      <w:lvlJc w:val="right"/>
      <w:pPr>
        <w:ind w:left="3251" w:hanging="180"/>
      </w:pPr>
      <w:rPr>
        <w:rFonts w:cs="Times New Roman"/>
      </w:rPr>
    </w:lvl>
    <w:lvl w:ilvl="6">
      <w:start w:val="1"/>
      <w:numFmt w:val="decimal"/>
      <w:lvlText w:val="%7."/>
      <w:lvlJc w:val="left"/>
      <w:pPr>
        <w:ind w:left="3971" w:hanging="360"/>
      </w:pPr>
      <w:rPr>
        <w:rFonts w:cs="Times New Roman"/>
      </w:rPr>
    </w:lvl>
    <w:lvl w:ilvl="7">
      <w:start w:val="1"/>
      <w:numFmt w:val="lowerLetter"/>
      <w:lvlText w:val="%8."/>
      <w:lvlJc w:val="left"/>
      <w:pPr>
        <w:ind w:left="4691" w:hanging="360"/>
      </w:pPr>
      <w:rPr>
        <w:rFonts w:cs="Times New Roman"/>
      </w:rPr>
    </w:lvl>
    <w:lvl w:ilvl="8">
      <w:start w:val="1"/>
      <w:numFmt w:val="lowerRoman"/>
      <w:lvlText w:val="%9."/>
      <w:lvlJc w:val="right"/>
      <w:pPr>
        <w:ind w:left="5411" w:hanging="180"/>
      </w:pPr>
      <w:rPr>
        <w:rFonts w:cs="Times New Roman"/>
      </w:rPr>
    </w:lvl>
  </w:abstractNum>
  <w:num w:numId="1" w16cid:durableId="504899165">
    <w:abstractNumId w:val="5"/>
  </w:num>
  <w:num w:numId="2" w16cid:durableId="76294172">
    <w:abstractNumId w:val="3"/>
  </w:num>
  <w:num w:numId="3" w16cid:durableId="1906986607">
    <w:abstractNumId w:val="7"/>
  </w:num>
  <w:num w:numId="4" w16cid:durableId="812986786">
    <w:abstractNumId w:val="0"/>
  </w:num>
  <w:num w:numId="5" w16cid:durableId="1413967528">
    <w:abstractNumId w:val="1"/>
  </w:num>
  <w:num w:numId="6" w16cid:durableId="64306561">
    <w:abstractNumId w:val="4"/>
  </w:num>
  <w:num w:numId="7" w16cid:durableId="1092168989">
    <w:abstractNumId w:val="2"/>
  </w:num>
  <w:num w:numId="8" w16cid:durableId="2086296261">
    <w:abstractNumId w:val="8"/>
  </w:num>
  <w:num w:numId="9" w16cid:durableId="1415080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4648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05"/>
    <w:rsid w:val="00472730"/>
    <w:rsid w:val="005F1428"/>
    <w:rsid w:val="00927F05"/>
    <w:rsid w:val="00BB78C8"/>
    <w:rsid w:val="00BF5C8B"/>
    <w:rsid w:val="00F82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3E58"/>
  <w15:chartTrackingRefBased/>
  <w15:docId w15:val="{F7649B66-3E34-4529-BFD6-B6BE388C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F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F05"/>
    <w:pPr>
      <w:suppressAutoHyphens/>
      <w:autoSpaceDE w:val="0"/>
      <w:autoSpaceDN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927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business-rates-relief-202324-retail-hospitality-and-leisure-scheme-local-authority-guidance" TargetMode="External"/><Relationship Id="rId5" Type="http://schemas.openxmlformats.org/officeDocument/2006/relationships/hyperlink" Target="https://www.gov.uk/government/publications/explanatory-memorandum-revised-guidance-issued-under-s-182-of-licensing-act-2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Linda</dc:creator>
  <cp:keywords/>
  <dc:description/>
  <cp:lastModifiedBy>Bicknell, Louise</cp:lastModifiedBy>
  <cp:revision>2</cp:revision>
  <dcterms:created xsi:type="dcterms:W3CDTF">2023-03-07T16:09:00Z</dcterms:created>
  <dcterms:modified xsi:type="dcterms:W3CDTF">2023-03-07T16:09:00Z</dcterms:modified>
</cp:coreProperties>
</file>